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w:t>
      </w:r>
      <w:r>
        <w:rPr>
          <w:rFonts w:ascii="Arial" w:hAnsi="Arial" w:eastAsia="宋体" w:cs="Arial"/>
          <w:b/>
          <w:sz w:val="24"/>
          <w:szCs w:val="24"/>
          <w:lang w:eastAsia="zh-CN"/>
        </w:rPr>
        <w:t>R4-2</w:t>
      </w:r>
      <w:r>
        <w:rPr>
          <w:rFonts w:hint="eastAsia" w:eastAsia="宋体" w:cs="Arial"/>
          <w:b/>
          <w:sz w:val="24"/>
          <w:szCs w:val="24"/>
          <w:lang w:val="en-US" w:eastAsia="zh-CN"/>
        </w:rPr>
        <w:t>501178</w:t>
      </w:r>
      <w:bookmarkStart w:id="3" w:name="_GoBack"/>
      <w:bookmarkEnd w:id="3"/>
      <w:r>
        <w:rPr>
          <w:rFonts w:hint="eastAsia" w:eastAsia="宋体" w:cs="Arial"/>
          <w:b/>
          <w:sz w:val="24"/>
          <w:szCs w:val="24"/>
          <w:lang w:val="en-US" w:eastAsia="zh-CN"/>
        </w:rPr>
        <w:t xml:space="preserve">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xml:space="preserve">, </w:t>
      </w:r>
      <w:r>
        <w:rPr>
          <w:rFonts w:hint="eastAsia"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IoT NTN TDD mode</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7.31.5</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At RAN 105# meeting, the revised WID on IoT NTN TDD mode [1] has been approved, and several objectives in the WID have RAN4 RRM involvement. In this meeting, we will provide the initial analysis on the RAN4 impact on periodic pattern.</w:t>
      </w:r>
    </w:p>
    <w:p>
      <w:pPr>
        <w:pStyle w:val="76"/>
        <w:rPr>
          <w:lang w:val="en-US"/>
        </w:rPr>
      </w:pPr>
      <w:r>
        <w:rPr>
          <w:lang w:val="en-US"/>
        </w:rPr>
        <w:t>Discussion</w:t>
      </w:r>
    </w:p>
    <w:p>
      <w:pPr>
        <w:rPr>
          <w:rFonts w:hint="default"/>
          <w:lang w:val="en-US" w:eastAsia="zh-CN"/>
        </w:rPr>
      </w:pPr>
      <w:r>
        <w:rPr>
          <w:rFonts w:hint="eastAsia"/>
          <w:lang w:val="en-US" w:eastAsia="zh-CN"/>
        </w:rPr>
        <w:t xml:space="preserve">The work item description can be seen as below: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pPr>
            <w:r>
              <w:t>This work item includes the following objectives:</w:t>
            </w:r>
          </w:p>
          <w:p>
            <w:pPr>
              <w:numPr>
                <w:ilvl w:val="0"/>
                <w:numId w:val="3"/>
              </w:numPr>
              <w:suppressAutoHyphens w:val="0"/>
              <w:overflowPunct/>
              <w:autoSpaceDE/>
              <w:spacing w:after="120"/>
              <w:textAlignment w:val="auto"/>
              <w:rPr>
                <w:highlight w:val="yellow"/>
              </w:rPr>
            </w:pPr>
            <w:r>
              <w:rPr>
                <w:highlight w:val="yellow"/>
              </w:rPr>
              <w:t xml:space="preserve">Study the impact </w:t>
            </w:r>
            <w:r>
              <w:rPr>
                <w:bCs/>
                <w:highlight w:val="yellow"/>
              </w:rPr>
              <w:t>due to the periodic pattern</w:t>
            </w:r>
            <w:r>
              <w:rPr>
                <w:highlight w:val="yellow"/>
              </w:rPr>
              <w:t>, at least on UE downlink synchronization and other aspects (if identified) [RAN1, RAN4]</w:t>
            </w:r>
          </w:p>
          <w:p>
            <w:pPr>
              <w:numPr>
                <w:ilvl w:val="1"/>
                <w:numId w:val="4"/>
              </w:numPr>
              <w:spacing w:after="120"/>
              <w:rPr>
                <w:highlight w:val="yellow"/>
              </w:rPr>
            </w:pPr>
            <w:r>
              <w:rPr>
                <w:highlight w:val="yellow"/>
              </w:rPr>
              <w:t>Checkpoint in RAN#106 for the completion of the study phase. RAN1 start from Oct’24. RAN4 start from Nov’24</w:t>
            </w:r>
          </w:p>
          <w:p>
            <w:pPr>
              <w:numPr>
                <w:ilvl w:val="0"/>
                <w:numId w:val="3"/>
              </w:numPr>
              <w:spacing w:after="120"/>
            </w:pPr>
            <w:r>
              <w:t>Specify a new NB-IoT TDD NTN mode</w:t>
            </w:r>
            <w:r>
              <w:rPr>
                <w:rStyle w:val="84"/>
              </w:rPr>
              <w:t xml:space="preserve"> </w:t>
            </w:r>
            <w:r>
              <w:rPr>
                <w:rStyle w:val="85"/>
              </w:rPr>
              <w:t>based on minimum necessary changes to the NB-IoT NTN FDD frame structure and procedures</w:t>
            </w:r>
            <w:r>
              <w:t>, based on the outcome of the study, including:</w:t>
            </w:r>
          </w:p>
          <w:p>
            <w:pPr>
              <w:numPr>
                <w:ilvl w:val="1"/>
                <w:numId w:val="4"/>
              </w:numPr>
              <w:spacing w:after="120"/>
            </w:pPr>
            <w:r>
              <w:t>Definition, configuration (if needed) and signaling (if needed) of the periodic pattern including confirming the value of N, and associated UE procedures [RAN1, RAN2]</w:t>
            </w:r>
          </w:p>
          <w:p>
            <w:pPr>
              <w:numPr>
                <w:ilvl w:val="1"/>
                <w:numId w:val="4"/>
              </w:numPr>
              <w:spacing w:after="120"/>
            </w:pPr>
            <w:r>
              <w:t>Other necessary impacts on higher layers [RAN2]</w:t>
            </w:r>
          </w:p>
          <w:p>
            <w:pPr>
              <w:numPr>
                <w:ilvl w:val="1"/>
                <w:numId w:val="4"/>
              </w:numPr>
              <w:spacing w:after="120"/>
            </w:pPr>
            <w:r>
              <w:t>RRM and RF core requirements [RAN4]</w:t>
            </w:r>
          </w:p>
          <w:p>
            <w:pPr>
              <w:numPr>
                <w:ilvl w:val="0"/>
                <w:numId w:val="3"/>
              </w:numPr>
              <w:spacing w:after="120"/>
            </w:pPr>
            <w:r>
              <w:t>Specify a new NB-IoT TDD operating NTN band for the MSS allocation spanning 1616-1626.5 MHz for DL and UL, based on the outcome of the study, to be used as example band for this WI [RAN4].</w:t>
            </w:r>
          </w:p>
          <w:p>
            <w:pPr>
              <w:numPr>
                <w:ilvl w:val="1"/>
                <w:numId w:val="4"/>
              </w:numPr>
              <w:spacing w:after="120"/>
            </w:pPr>
            <w:r>
              <w:t>Specify band numbering</w:t>
            </w:r>
          </w:p>
          <w:p>
            <w:pPr>
              <w:numPr>
                <w:ilvl w:val="1"/>
                <w:numId w:val="4"/>
              </w:numPr>
              <w:spacing w:after="120"/>
            </w:pPr>
            <w:r>
              <w:t>Specify SAN and UE RF characteristics</w:t>
            </w:r>
          </w:p>
          <w:p>
            <w:pPr>
              <w:numPr>
                <w:ilvl w:val="1"/>
                <w:numId w:val="4"/>
              </w:numPr>
              <w:spacing w:after="120"/>
            </w:pPr>
            <w:r>
              <w:t>Specify DL and UL channelization.</w:t>
            </w:r>
          </w:p>
          <w:p>
            <w:pPr>
              <w:numPr>
                <w:ilvl w:val="1"/>
                <w:numId w:val="4"/>
              </w:numPr>
              <w:spacing w:after="120"/>
            </w:pPr>
            <w:r>
              <w:rPr>
                <w:rFonts w:hint="cs"/>
              </w:rPr>
              <w:t>S</w:t>
            </w:r>
            <w:r>
              <w:t>pecify channel bandwidth as 200 kHz</w:t>
            </w:r>
          </w:p>
          <w:p>
            <w:pPr>
              <w:numPr>
                <w:ilvl w:val="1"/>
                <w:numId w:val="4"/>
              </w:numPr>
              <w:spacing w:after="120"/>
            </w:pPr>
            <w:r>
              <w:t>Note1: No NTN-NTN coexistence study needed.</w:t>
            </w:r>
          </w:p>
          <w:p>
            <w:pPr>
              <w:numPr>
                <w:ilvl w:val="1"/>
                <w:numId w:val="4"/>
              </w:numPr>
              <w:spacing w:after="120"/>
            </w:pPr>
            <w:r>
              <w:t>Note2: Leverage existing work as much as possible for TN-NTN coexistence of adjacent bands</w:t>
            </w:r>
          </w:p>
          <w:p>
            <w:pPr>
              <w:spacing w:after="120"/>
              <w:ind w:left="1080"/>
            </w:pPr>
          </w:p>
          <w:p>
            <w:pPr>
              <w:spacing w:after="0"/>
              <w:rPr>
                <w:highlight w:val="yellow"/>
              </w:rPr>
            </w:pPr>
            <w:r>
              <w:t>Note3:</w:t>
            </w:r>
            <w:r>
              <w:rPr>
                <w:highlight w:val="yellow"/>
              </w:rPr>
              <w:t xml:space="preserve"> Reuse the existing RAN4 requirements as much as possible (no intention to have any relaxation of the RF emissions requirements)</w:t>
            </w:r>
          </w:p>
          <w:p>
            <w:pPr>
              <w:spacing w:before="120" w:beforeLines="50" w:after="120" w:afterLines="50"/>
              <w:jc w:val="left"/>
              <w:rPr>
                <w:rFonts w:hint="default" w:ascii="Times New Roman" w:hAnsi="Times New Roman" w:eastAsia="宋体" w:cs="Times New Roman"/>
                <w:kern w:val="0"/>
                <w:sz w:val="20"/>
                <w:szCs w:val="20"/>
                <w:lang w:val="en-US"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eastAsia" w:eastAsia="宋体" w:cs="Times New Roman"/>
          <w:sz w:val="22"/>
          <w:lang w:val="en-US" w:eastAsia="zh-CN"/>
        </w:rPr>
        <w:t>In this meeting, we will discuss the scenarios and express our views on potential impact to RAN4 requirements towards the above objective based on RAN1</w:t>
      </w:r>
      <w:r>
        <w:rPr>
          <w:rFonts w:hint="default" w:eastAsia="宋体" w:cs="Times New Roman"/>
          <w:sz w:val="22"/>
          <w:lang w:val="en-US" w:eastAsia="zh-CN"/>
        </w:rPr>
        <w:t>’</w:t>
      </w:r>
      <w:r>
        <w:rPr>
          <w:rFonts w:hint="eastAsia" w:eastAsia="宋体" w:cs="Times New Roman"/>
          <w:sz w:val="22"/>
          <w:lang w:val="en-US" w:eastAsia="zh-CN"/>
        </w:rPr>
        <w:t>s discussion.</w:t>
      </w:r>
    </w:p>
    <w:p>
      <w:pPr>
        <w:pStyle w:val="78"/>
        <w:numPr>
          <w:ilvl w:val="1"/>
          <w:numId w:val="0"/>
        </w:numPr>
        <w:bidi w:val="0"/>
        <w:rPr>
          <w:rFonts w:hint="default"/>
          <w:lang w:val="en-US" w:eastAsia="zh-CN"/>
        </w:rPr>
      </w:pPr>
      <w:r>
        <w:rPr>
          <w:rFonts w:hint="eastAsia"/>
          <w:lang w:val="en-US" w:eastAsia="zh-CN"/>
        </w:rPr>
        <w:t>2.1 RRM impact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RAN1, the concrete periodic pattern is still under discussion and the following figure shows us the specific periodic pattern: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ascii="Times New Roman" w:hAnsi="Times New Roman" w:cs="Times New Roman"/>
          <w:sz w:val="20"/>
          <w:szCs w:val="20"/>
        </w:rPr>
      </w:pPr>
      <w:r>
        <w:rPr>
          <w:rFonts w:ascii="Times New Roman" w:hAnsi="Times New Roman" w:cs="Times New Roman"/>
          <w:sz w:val="20"/>
          <w:szCs w:val="20"/>
        </w:rPr>
        <w:drawing>
          <wp:inline distT="0" distB="0" distL="0" distR="0">
            <wp:extent cx="4953000" cy="1117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953000" cy="1117600"/>
                    </a:xfrm>
                    <a:prstGeom prst="rect">
                      <a:avLst/>
                    </a:prstGeom>
                    <a:noFill/>
                  </pic:spPr>
                </pic:pic>
              </a:graphicData>
            </a:graphic>
          </wp:inline>
        </w:drawing>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center"/>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Figure 1 Periodic pattern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We find that there are three parts which contains:</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Downlink subframe: The number of consecutive DL subframes at the behinning of each DL-UL pattern.</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Uplink subframe: The number of consecutive UL subframesof each DL-UL pattern.</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Guard period: Indicates the downlink to uplink guard period for TDD operation.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RAN1 is discussing the number of downlink/uplink/guard period without any conclusion. In the current WID, it says that the periodic pattern should consist of non-overlapping set of usable contiguous UL subframes and set of usable contiguous DL subframes, and guard periods, which is periodic every N radio frames, with </w:t>
      </w:r>
      <w:r>
        <w:rPr>
          <w:rFonts w:hint="eastAsia" w:ascii="Times New Roman" w:hAnsi="Times New Roman" w:eastAsia="宋体" w:cs="Times New Roman"/>
          <w:sz w:val="20"/>
          <w:szCs w:val="20"/>
          <w:highlight w:val="yellow"/>
          <w:lang w:val="en-US" w:eastAsia="zh-CN"/>
        </w:rPr>
        <w:t>N=9</w:t>
      </w:r>
      <w:r>
        <w:rPr>
          <w:rFonts w:hint="eastAsia" w:ascii="Times New Roman" w:hAnsi="Times New Roman" w:eastAsia="宋体" w:cs="Times New Roman"/>
          <w:sz w:val="20"/>
          <w:szCs w:val="20"/>
          <w:lang w:val="en-US" w:eastAsia="zh-CN"/>
        </w:rPr>
        <w:t xml:space="preserve"> as baseline. Thus, the periodicity is 9 and the frame structure will be impacted. First of we can see the FDD mode frame structure as below [2]: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pPr>
      <w:r>
        <w:drawing>
          <wp:inline distT="0" distB="0" distL="0" distR="0">
            <wp:extent cx="6357620" cy="641985"/>
            <wp:effectExtent l="0" t="0" r="12700" b="13335"/>
            <wp:docPr id="344977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977905"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474407" cy="654119"/>
                    </a:xfrm>
                    <a:prstGeom prst="rect">
                      <a:avLst/>
                    </a:prstGeom>
                    <a:noFill/>
                  </pic:spPr>
                </pic:pic>
              </a:graphicData>
            </a:graphic>
          </wp:inline>
        </w:drawing>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center"/>
        <w:textAlignment w:val="baseline"/>
        <w:rPr>
          <w:rFonts w:hint="eastAsia" w:eastAsia="宋体"/>
          <w:lang w:val="en-US" w:eastAsia="zh-CN"/>
        </w:rPr>
      </w:pPr>
      <w:r>
        <w:rPr>
          <w:rFonts w:hint="eastAsia" w:eastAsia="宋体"/>
          <w:lang w:val="en-US" w:eastAsia="zh-CN"/>
        </w:rPr>
        <w:t>Figure 2 FDD mode frame structure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lang w:val="en-US" w:eastAsia="zh-CN"/>
        </w:rPr>
      </w:pPr>
      <w:r>
        <w:rPr>
          <w:rFonts w:hint="eastAsia" w:eastAsia="宋体"/>
          <w:lang w:val="en-US" w:eastAsia="zh-CN"/>
        </w:rPr>
        <w:t>Based on the N=9 periodic pattern, the TDD mode frame structure can be seen as below [3]:</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lang w:val="fr-FR" w:eastAsia="fr-FR"/>
        </w:rPr>
      </w:pPr>
      <w:r>
        <w:rPr>
          <w:rFonts w:hint="eastAsia" w:eastAsia="宋体"/>
          <w:lang w:val="en-US" w:eastAsia="zh-CN"/>
        </w:rPr>
        <w:t xml:space="preserve"> </w:t>
      </w:r>
      <w:r>
        <w:rPr>
          <w:lang w:val="fr-FR" w:eastAsia="fr-FR"/>
        </w:rPr>
        <w:drawing>
          <wp:inline distT="0" distB="0" distL="0" distR="0">
            <wp:extent cx="5760085" cy="1366520"/>
            <wp:effectExtent l="0" t="0" r="635" b="508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pic:cNvPicPr>
                  </pic:nvPicPr>
                  <pic:blipFill>
                    <a:blip r:embed="rId8"/>
                    <a:stretch>
                      <a:fillRect/>
                    </a:stretch>
                  </pic:blipFill>
                  <pic:spPr>
                    <a:xfrm>
                      <a:off x="0" y="0"/>
                      <a:ext cx="5760085" cy="1366520"/>
                    </a:xfrm>
                    <a:prstGeom prst="rect">
                      <a:avLst/>
                    </a:prstGeom>
                  </pic:spPr>
                </pic:pic>
              </a:graphicData>
            </a:graphic>
          </wp:inline>
        </w:drawing>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center"/>
        <w:textAlignment w:val="baseline"/>
        <w:rPr>
          <w:rFonts w:hint="eastAsia" w:eastAsia="宋体"/>
          <w:lang w:val="en-US" w:eastAsia="zh-CN"/>
        </w:rPr>
      </w:pPr>
      <w:r>
        <w:rPr>
          <w:rFonts w:hint="eastAsia" w:eastAsia="宋体"/>
          <w:lang w:val="en-US" w:eastAsia="zh-CN"/>
        </w:rPr>
        <w:t>Figure 3 TDD mode frame structure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lang w:val="en-US" w:eastAsia="zh-CN"/>
        </w:rPr>
        <w:t>We find that in legacy FDD mode, the NPSS is sent in 6</w:t>
      </w:r>
      <w:r>
        <w:rPr>
          <w:rFonts w:hint="eastAsia"/>
          <w:vertAlign w:val="superscript"/>
          <w:lang w:val="en-US" w:eastAsia="zh-CN"/>
        </w:rPr>
        <w:t>th</w:t>
      </w:r>
      <w:r>
        <w:rPr>
          <w:rFonts w:hint="eastAsia"/>
          <w:lang w:val="en-US" w:eastAsia="zh-CN"/>
        </w:rPr>
        <w:t xml:space="preserve"> subframe of every radio frame, while NSSS is sent in the 10</w:t>
      </w:r>
      <w:r>
        <w:rPr>
          <w:rFonts w:hint="eastAsia"/>
          <w:vertAlign w:val="superscript"/>
          <w:lang w:val="en-US" w:eastAsia="zh-CN"/>
        </w:rPr>
        <w:t>th</w:t>
      </w:r>
      <w:r>
        <w:rPr>
          <w:rFonts w:hint="eastAsia"/>
          <w:lang w:val="en-US" w:eastAsia="zh-CN"/>
        </w:rPr>
        <w:t xml:space="preserve"> subframe every other radio frames. However, we can see figure 3 that the periodicity of the NPSS and NSS will also increase, at least extend 9 times than legacy FDD mode. Then the UE can only search the NPSS/NSSS with a larger period than legacy FDD, the following table can be seen: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center"/>
        <w:textAlignment w:val="baseline"/>
        <w:rPr>
          <w:rFonts w:hint="default"/>
          <w:b/>
          <w:bCs/>
          <w:lang w:val="en-US" w:eastAsia="zh-CN"/>
        </w:rPr>
      </w:pPr>
      <w:r>
        <w:rPr>
          <w:rFonts w:hint="eastAsia"/>
          <w:b/>
          <w:bCs/>
          <w:lang w:val="en-US" w:eastAsia="zh-CN"/>
        </w:rPr>
        <w:t>Table 1 The detection time for NPSS/NSSS/NPBCH (at least N=9)</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6"/>
        <w:gridCol w:w="3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center"/>
              <w:textAlignment w:val="baseline"/>
              <w:rPr>
                <w:rFonts w:hint="default"/>
                <w:vertAlign w:val="baseline"/>
                <w:lang w:val="en-US" w:eastAsia="zh-CN"/>
              </w:rPr>
            </w:pPr>
            <w:r>
              <w:rPr>
                <w:rFonts w:hint="eastAsia"/>
                <w:vertAlign w:val="baseline"/>
                <w:lang w:val="en-US" w:eastAsia="zh-CN"/>
              </w:rPr>
              <w:t>Channel</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center"/>
              <w:textAlignment w:val="baseline"/>
              <w:rPr>
                <w:rFonts w:hint="default"/>
                <w:vertAlign w:val="baseline"/>
                <w:lang w:val="en-US" w:eastAsia="zh-CN"/>
              </w:rPr>
            </w:pPr>
            <w:r>
              <w:rPr>
                <w:rFonts w:hint="eastAsia"/>
                <w:vertAlign w:val="baseline"/>
                <w:lang w:val="en-US" w:eastAsia="zh-CN"/>
              </w:rPr>
              <w:t>Legacy NB-IoT NTN</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center"/>
              <w:textAlignment w:val="baseline"/>
              <w:rPr>
                <w:rFonts w:hint="default"/>
                <w:vertAlign w:val="baseline"/>
                <w:lang w:val="en-US" w:eastAsia="zh-CN"/>
              </w:rPr>
            </w:pPr>
            <w:r>
              <w:rPr>
                <w:rFonts w:hint="eastAsia"/>
                <w:vertAlign w:val="baseline"/>
                <w:lang w:val="en-US" w:eastAsia="zh-CN"/>
              </w:rPr>
              <w:t>TDD NB-IoT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NPSS</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Once every 10ms</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Once every 90ms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NSSS</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Once every 20ms</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Once every 180ms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NPBCH</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64 transmissions in 640ms TTI</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7 or 8 transmissions in 640ms TTI</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lang w:val="en-US" w:eastAsia="zh-CN"/>
        </w:rPr>
      </w:pPr>
      <w:r>
        <w:rPr>
          <w:rFonts w:hint="eastAsia"/>
          <w:lang w:val="en-US" w:eastAsia="zh-CN"/>
        </w:rPr>
        <w:t>Actually, other working groups are still discussing the concrete frame structure for IoT NTN TDD mode and based on the latest discussion from RAN1, some RRM measurement requirements will be impacted by extended NPSS and NSSS detection time. Also, RAN1 has the latest agreement in the last meeting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sz w:val="24"/>
                <w:szCs w:val="32"/>
                <w:lang w:val="en-US"/>
              </w:rPr>
            </w:pPr>
            <w:r>
              <w:rPr>
                <w:sz w:val="24"/>
                <w:szCs w:val="32"/>
                <w:lang w:val="en-US"/>
              </w:rPr>
              <w:t>Regarding operation within the same band as the TDD frame structure of legacy system in the 1.6GHz MSS band (shown below), RAN1 work in Rel-19 considers the following design constraints:</w:t>
            </w:r>
          </w:p>
          <w:p>
            <w:pPr>
              <w:pStyle w:val="72"/>
              <w:numPr>
                <w:ilvl w:val="0"/>
                <w:numId w:val="6"/>
              </w:numPr>
              <w:overflowPunct w:val="0"/>
              <w:autoSpaceDE w:val="0"/>
              <w:autoSpaceDN w:val="0"/>
              <w:adjustRightInd w:val="0"/>
              <w:textAlignment w:val="baseline"/>
              <w:rPr>
                <w:sz w:val="24"/>
                <w:szCs w:val="32"/>
              </w:rPr>
            </w:pPr>
            <w:r>
              <w:rPr>
                <w:sz w:val="24"/>
                <w:szCs w:val="32"/>
              </w:rPr>
              <w:t>At the satellite, all downlink NB-IoT channels/signals in a cell can only use one of the downlink slots in the TDD frame structure (DL1, DL2, DL3 or DL4) across 90ms periods.</w:t>
            </w:r>
          </w:p>
          <w:p>
            <w:pPr>
              <w:pStyle w:val="72"/>
              <w:numPr>
                <w:ilvl w:val="1"/>
                <w:numId w:val="6"/>
              </w:numPr>
              <w:overflowPunct w:val="0"/>
              <w:autoSpaceDE w:val="0"/>
              <w:autoSpaceDN w:val="0"/>
              <w:adjustRightInd w:val="0"/>
              <w:textAlignment w:val="baseline"/>
              <w:rPr>
                <w:sz w:val="24"/>
                <w:szCs w:val="32"/>
              </w:rPr>
            </w:pPr>
            <w:r>
              <w:rPr>
                <w:sz w:val="24"/>
                <w:szCs w:val="32"/>
              </w:rPr>
              <w:t>The same downlink slot is used in all the 90ms periods.</w:t>
            </w:r>
          </w:p>
          <w:p>
            <w:pPr>
              <w:pStyle w:val="72"/>
              <w:numPr>
                <w:ilvl w:val="0"/>
                <w:numId w:val="6"/>
              </w:numPr>
              <w:overflowPunct w:val="0"/>
              <w:autoSpaceDE w:val="0"/>
              <w:autoSpaceDN w:val="0"/>
              <w:adjustRightInd w:val="0"/>
              <w:spacing w:line="259" w:lineRule="auto"/>
              <w:textAlignment w:val="baseline"/>
              <w:rPr>
                <w:sz w:val="24"/>
                <w:szCs w:val="32"/>
                <w:lang w:val="en-US"/>
              </w:rPr>
            </w:pPr>
            <w:r>
              <w:rPr>
                <w:sz w:val="24"/>
                <w:szCs w:val="32"/>
              </w:rPr>
              <w:t>At the satellite, all uplink NB-IoT channels in a cell can only use one of the uplink slots in the TDD frame structure (UL1, UL2, UL3 or UL4) across 90ms periods</w:t>
            </w:r>
            <w:r>
              <w:rPr>
                <w:sz w:val="24"/>
                <w:szCs w:val="32"/>
                <w:lang w:val="en-US"/>
              </w:rPr>
              <w:t>.</w:t>
            </w:r>
          </w:p>
          <w:p>
            <w:pPr>
              <w:pStyle w:val="72"/>
              <w:numPr>
                <w:ilvl w:val="1"/>
                <w:numId w:val="6"/>
              </w:numPr>
              <w:overflowPunct w:val="0"/>
              <w:autoSpaceDE w:val="0"/>
              <w:autoSpaceDN w:val="0"/>
              <w:adjustRightInd w:val="0"/>
              <w:textAlignment w:val="baseline"/>
              <w:rPr>
                <w:sz w:val="24"/>
                <w:szCs w:val="32"/>
              </w:rPr>
            </w:pPr>
            <w:r>
              <w:rPr>
                <w:sz w:val="24"/>
                <w:szCs w:val="32"/>
              </w:rPr>
              <w:t>The same uplink slot is used in all the 90ms periods.</w:t>
            </w:r>
          </w:p>
          <w:p>
            <w:pPr>
              <w:pStyle w:val="72"/>
              <w:numPr>
                <w:ilvl w:val="0"/>
                <w:numId w:val="6"/>
              </w:numPr>
              <w:overflowPunct w:val="0"/>
              <w:autoSpaceDE w:val="0"/>
              <w:autoSpaceDN w:val="0"/>
              <w:adjustRightInd w:val="0"/>
              <w:spacing w:line="259" w:lineRule="auto"/>
              <w:textAlignment w:val="baseline"/>
              <w:rPr>
                <w:sz w:val="24"/>
                <w:szCs w:val="32"/>
                <w:lang w:val="en-US"/>
              </w:rPr>
            </w:pPr>
            <w:r>
              <w:rPr>
                <w:sz w:val="24"/>
                <w:szCs w:val="32"/>
                <w:lang w:val="en-US"/>
              </w:rPr>
              <w:t>The one uplink slot and one downlink slot in the TDD frame structure have the same index (DL1 &amp; UL1, DL2 &amp; UL2, DL3 &amp; UL3, or DL4 &amp; UL4).</w:t>
            </w:r>
          </w:p>
          <w:p>
            <w:pPr>
              <w:pStyle w:val="72"/>
              <w:numPr>
                <w:ilvl w:val="0"/>
                <w:numId w:val="6"/>
              </w:numPr>
              <w:overflowPunct w:val="0"/>
              <w:autoSpaceDE w:val="0"/>
              <w:autoSpaceDN w:val="0"/>
              <w:adjustRightInd w:val="0"/>
              <w:spacing w:line="259" w:lineRule="auto"/>
              <w:textAlignment w:val="baseline"/>
              <w:rPr>
                <w:sz w:val="24"/>
                <w:szCs w:val="32"/>
                <w:lang w:val="en-US"/>
              </w:rPr>
            </w:pPr>
            <w:r>
              <w:rPr>
                <w:sz w:val="24"/>
                <w:szCs w:val="32"/>
              </w:rPr>
              <w:t>NOTE: this does not imply that the only configuration(s) to be specified are according to these constraints.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lang w:val="en-US" w:eastAsia="zh-CN"/>
              </w:rPr>
              <w:drawing>
                <wp:inline distT="0" distB="0" distL="0" distR="0">
                  <wp:extent cx="5295265" cy="969010"/>
                  <wp:effectExtent l="0" t="0" r="8255" b="6350"/>
                  <wp:docPr id="1254597960"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597960" name="Picture 2" descr="A black rectangular object with black 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95265" cy="969010"/>
                          </a:xfrm>
                          <a:prstGeom prst="rect">
                            <a:avLst/>
                          </a:prstGeom>
                          <a:noFill/>
                          <a:ln>
                            <a:noFill/>
                          </a:ln>
                        </pic:spPr>
                      </pic:pic>
                    </a:graphicData>
                  </a:graphic>
                </wp:inline>
              </w:drawing>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lang w:val="en-US" w:eastAsia="zh-CN"/>
        </w:rPr>
      </w:pPr>
      <w:r>
        <w:rPr>
          <w:rFonts w:hint="eastAsia"/>
          <w:lang w:val="en-US" w:eastAsia="zh-CN"/>
        </w:rPr>
        <w:t>Based on the above figure in RAN1</w:t>
      </w:r>
      <w:r>
        <w:rPr>
          <w:rFonts w:hint="default"/>
          <w:lang w:val="en-US" w:eastAsia="zh-CN"/>
        </w:rPr>
        <w:t>’</w:t>
      </w:r>
      <w:r>
        <w:rPr>
          <w:rFonts w:hint="eastAsia"/>
          <w:lang w:val="en-US" w:eastAsia="zh-CN"/>
        </w:rPr>
        <w:t>s agreement and the latest WID, we know that at least N=9 shall be considered. Thus, we would like to analyze the updated RRM requirements based on N=9 firstly.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lang w:val="en-US" w:eastAsia="zh-CN"/>
        </w:rPr>
      </w:pPr>
      <w:r>
        <w:rPr>
          <w:rFonts w:hint="eastAsia"/>
          <w:lang w:val="en-US" w:eastAsia="zh-CN"/>
        </w:rPr>
        <w:t>For cell re-selection requirements, there are three parameters shall be considered if N=9, they are Tdetect, Tevaluation and Tmeasure. Based on above analysis, NPSS and NSSS has extended nine times, that is, the SSB transmission interval is extended nine times, UE may need more time to detect/measure/evalute at least one SSB. Thus, we deem that the measurement period shall be also extended in order to guarantee the measurement accuracy. However, if reuse the same sample numbers in legacy NB-IoT, the whole measurement/evaluation period would be very long, the initial measurement results may not be useful any more for cell re-selection and other impacts. Thus, we do not think the measurement period shall be extended nine times like SSB transmission interval. To my understanding, the trade off between measurement accuracy and measurement delay shall be considered like the method in NR positioning. The detailed values shall be discussed after RAN1 has concrete conclusion on N and 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Observation 1: If reuse the same sample numbers in legacy NB-IoT, the whole measurement/evaluation period would be very long.</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Proposal 1: The trade off between measurement accuracy and measurement delay shall be considered like the method in NR positioning.</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Proposal 2: The detailed change of measurement/evaluation period shall be discussed after RAN1 has concrete conclusion on N and 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lang w:val="en-US" w:eastAsia="zh-CN"/>
        </w:rPr>
      </w:pPr>
      <w:r>
        <w:rPr>
          <w:rFonts w:hint="eastAsia"/>
          <w:lang w:val="en-US" w:eastAsia="zh-CN"/>
        </w:rPr>
        <w:t xml:space="preserve">For RRC re-establishment, the UE re-establishment delay requirements may be impacted by extended periodic pattern, such as N=9. However, if the target cell is known, we deem that </w:t>
      </w:r>
      <w:r>
        <w:t>T</w:t>
      </w:r>
      <w:r>
        <w:rPr>
          <w:vertAlign w:val="subscript"/>
        </w:rPr>
        <w:t>search</w:t>
      </w:r>
      <w:r>
        <w:rPr>
          <w:rFonts w:hint="eastAsia"/>
          <w:vertAlign w:val="subscript"/>
        </w:rPr>
        <w:t>_NB1-NC</w:t>
      </w:r>
      <w:r>
        <w:rPr>
          <w:vertAlign w:val="subscript"/>
        </w:rPr>
        <w:t>,i</w:t>
      </w:r>
      <w:r>
        <w:t xml:space="preserve"> = 0 ms</w:t>
      </w:r>
      <w:r>
        <w:rPr>
          <w:rFonts w:hint="eastAsia" w:eastAsia="宋体"/>
          <w:lang w:val="en-US" w:eastAsia="zh-CN"/>
        </w:rPr>
        <w:t xml:space="preserve">. If the target cell is unknown, the Tsearch shall be updated. From my perspective, the TDD periodic pattern is different from FDD pattern, we may think that the changed NPSS, NSSS, NPBCH, and SIBX-NB as punctured NPSS, NSSS, NPBCH, and SIBX-NB from the existing subframe/SFN mappings of these channels. Thus, </w:t>
      </w:r>
      <w:r>
        <w:t>T</w:t>
      </w:r>
      <w:r>
        <w:rPr>
          <w:vertAlign w:val="subscript"/>
        </w:rPr>
        <w:t>SI</w:t>
      </w:r>
      <w:r>
        <w:rPr>
          <w:rFonts w:hint="eastAsia"/>
          <w:vertAlign w:val="subscript"/>
        </w:rPr>
        <w:t>_NB1-NC</w:t>
      </w:r>
      <w:r>
        <w:rPr>
          <w:rFonts w:hint="eastAsia" w:eastAsia="宋体"/>
          <w:lang w:val="en-US" w:eastAsia="zh-CN"/>
        </w:rPr>
        <w:t xml:space="preserve"> shall also be changed.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Observation 2: The TDD periodic pattern is different from FDD pattern, we may think that the changed NPSS, NSSS, NPBCH, and SIBX-NB as punctured NPSS, NSSS, NPBCH, and SIBX-NB from the existing subframe/SFN mappings of these channels.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b/>
          <w:bCs/>
          <w:lang w:val="en-US" w:eastAsia="zh-CN"/>
        </w:rPr>
      </w:pPr>
      <w:r>
        <w:rPr>
          <w:rFonts w:hint="eastAsia"/>
          <w:b/>
          <w:bCs/>
          <w:lang w:val="en-US" w:eastAsia="zh-CN"/>
        </w:rPr>
        <w:t>Proposal 3: For RRC re-establishment delay, if the target cell is unknown, the Tsearch shall be updated. TSI_NB1-NC shall also be changed.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cs="v4.2.0"/>
          <w:lang w:val="en-US" w:eastAsia="zh-CN"/>
        </w:rPr>
      </w:pPr>
      <w:r>
        <w:rPr>
          <w:rFonts w:hint="eastAsia"/>
          <w:lang w:val="en-US" w:eastAsia="zh-CN"/>
        </w:rPr>
        <w:t xml:space="preserve">For RRC connection redirection, the time delay includes </w:t>
      </w:r>
      <w:r>
        <w:t>T</w:t>
      </w:r>
      <w:r>
        <w:rPr>
          <w:vertAlign w:val="subscript"/>
        </w:rPr>
        <w:t>period_DL_bitmap</w:t>
      </w:r>
      <w:r>
        <w:rPr>
          <w:rFonts w:cs="v4.2.0"/>
        </w:rPr>
        <w:t xml:space="preserve"> </w:t>
      </w:r>
      <w:r>
        <w:rPr>
          <w:rFonts w:hint="eastAsia" w:eastAsia="宋体" w:cs="v4.2.0"/>
          <w:lang w:val="en-US" w:eastAsia="zh-CN"/>
        </w:rPr>
        <w:t>which is impacted by periodicity of the downlink subframe configuration for downlink transmission. The periodicity of DL subframe may be extended accordingly due to periodic pattern.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Proposal 4: For RRC connection redirection, Tperiod_DL_bitmap may be changed due to updated periodic pattern.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val="0"/>
          <w:bCs w:val="0"/>
          <w:lang w:val="en-US" w:eastAsia="zh-CN"/>
        </w:rPr>
      </w:pPr>
      <w:r>
        <w:rPr>
          <w:rFonts w:hint="eastAsia"/>
          <w:b w:val="0"/>
          <w:bCs w:val="0"/>
          <w:lang w:val="en-US" w:eastAsia="zh-CN"/>
        </w:rPr>
        <w:t>To my understanding, the periodic pattern is scaled by at least N=9 times and the available NPSS/NSSS shall be scaled same times if one radio frame only one available NPSS/NSSS is used.  In cases where Rmax is less than 64 (indicating weaker signal strength), the UE requires more frequent link quality assessments to ensure timely detection of link failures; hence, adopting OOS evaluation periods of 400 milliseconds and INS evaluation periods of 200 milliseconds is reasonable. However, when Rmax exceeds 64 (indicating better signal strength), the link quality becomes more stable. As a result, the evaluation periods can be appropriately extended to 4000 milliseconds for OOS and 2000 milliseconds for INS, which helps to minimize unnecessary resource consumption. Thus, if considering non-DRX configuration for radio link monitoring, the evaluation period shall be scaled by 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Observation 3: The periodic pattern is scaled by at least N=9 times and the available NPSS/NSSS shall be scaled same times if one radio frame only one available NPSS/NSSS is used.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b w:val="0"/>
          <w:bCs w:val="0"/>
          <w:lang w:val="en-US" w:eastAsia="zh-CN"/>
        </w:rPr>
      </w:pPr>
      <w:r>
        <w:rPr>
          <w:rFonts w:hint="eastAsia"/>
          <w:b/>
          <w:bCs/>
          <w:lang w:val="en-US" w:eastAsia="zh-CN"/>
        </w:rPr>
        <w:t>Proposal 5: For radio link monitoring, the evaluation period shall be scaled by N.</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IoT NTN TDD mode enhancement</w:t>
      </w:r>
      <w:r>
        <w:rPr>
          <w:rFonts w:eastAsia="宋体"/>
          <w:lang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Observation 1: If reuse the same sample numbers in legacy NB-IoT, the whole measurement/evaluation period would be very long.</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Proposal 1: The trade off between measurement accuracy and measurement delay shall be considered like the method in NR positioning.</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Proposal 2: The detailed change of measurement/evaluation period shall be discussed after RAN1 has concrete conclusion on N and 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Observation 2: The TDD periodic pattern is different from FDD pattern, we may think that the changed NPSS, NSSS, NPBCH, and SIBX-NB as punctured NPSS, NSSS, NPBCH, and SIBX-NB from the existing subframe/SFN mappings of these channels.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b/>
          <w:bCs/>
          <w:lang w:val="en-US" w:eastAsia="zh-CN"/>
        </w:rPr>
      </w:pPr>
      <w:r>
        <w:rPr>
          <w:rFonts w:hint="eastAsia"/>
          <w:b/>
          <w:bCs/>
          <w:lang w:val="en-US" w:eastAsia="zh-CN"/>
        </w:rPr>
        <w:t>Proposal 3: For RRC re-establishment delay, if the target cell is unknown, the Tsearch shall be updated. TSI_NB1-NC shall also be changed.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Proposal 4: For RRC connection redirection, Tperiod_DL_bitmap may be changed due to updated periodic pattern.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Observation 3: The periodic pattern is scaled by at least N=9 times and the available NPSS/NSSS shall be scaled same times if one radio frame only one available NPSS/NSSS is used.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b/>
          <w:bCs/>
          <w:lang w:val="en-US" w:eastAsia="zh-CN"/>
        </w:rPr>
      </w:pPr>
      <w:r>
        <w:rPr>
          <w:rFonts w:hint="eastAsia"/>
          <w:b/>
          <w:bCs/>
          <w:lang w:val="en-US" w:eastAsia="zh-CN"/>
        </w:rPr>
        <w:t>Proposal 5: For radio link monitoring, the evaluation period shall be scaled by N.</w:t>
      </w:r>
    </w:p>
    <w:p>
      <w:pPr>
        <w:pStyle w:val="76"/>
        <w:numPr>
          <w:ilvl w:val="0"/>
          <w:numId w:val="0"/>
        </w:numPr>
        <w:ind w:left="360" w:hanging="360"/>
        <w:rPr>
          <w:lang w:val="en-US"/>
        </w:rPr>
      </w:pPr>
      <w:r>
        <w:rPr>
          <w:rFonts w:hint="eastAsia"/>
          <w:lang w:val="en-US" w:eastAsia="zh-CN"/>
        </w:rPr>
        <w:t xml:space="preserve">4 </w:t>
      </w:r>
      <w:r>
        <w:rPr>
          <w:lang w:val="en-US"/>
        </w:rPr>
        <w:t>References</w:t>
      </w:r>
    </w:p>
    <w:p>
      <w:pPr>
        <w:keepNext/>
        <w:keepLines/>
        <w:pageBreakBefore w:val="0"/>
        <w:widowControl/>
        <w:numPr>
          <w:ilvl w:val="0"/>
          <w:numId w:val="7"/>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bookmarkStart w:id="2" w:name="_Ref114500673"/>
      <w:bookmarkEnd w:id="2"/>
      <w:r>
        <w:rPr>
          <w:rFonts w:hint="eastAsia"/>
          <w:sz w:val="20"/>
          <w:szCs w:val="20"/>
          <w:lang w:val="en-US" w:eastAsia="zh-CN"/>
        </w:rPr>
        <w:t>RP-242415, New WID on introduction of IoT-NTN TDD mode, Iridium Satellite LLC</w:t>
      </w:r>
    </w:p>
    <w:p>
      <w:pPr>
        <w:numPr>
          <w:ilvl w:val="0"/>
          <w:numId w:val="7"/>
        </w:numPr>
        <w:ind w:left="0" w:leftChars="0" w:firstLine="0" w:firstLineChars="0"/>
        <w:rPr>
          <w:rFonts w:hint="eastAsia"/>
          <w:lang w:val="en-US" w:eastAsia="zh-CN"/>
        </w:rPr>
      </w:pPr>
      <w:r>
        <w:rPr>
          <w:rFonts w:hint="eastAsia"/>
          <w:lang w:val="en-US" w:eastAsia="zh-CN"/>
        </w:rPr>
        <w:t>TS36.133</w:t>
      </w:r>
    </w:p>
    <w:p>
      <w:pPr>
        <w:numPr>
          <w:ilvl w:val="0"/>
          <w:numId w:val="7"/>
        </w:numPr>
        <w:ind w:left="0" w:leftChars="0" w:firstLine="0" w:firstLineChars="0"/>
        <w:rPr>
          <w:rFonts w:hint="default"/>
          <w:lang w:val="en-US" w:eastAsia="zh-CN"/>
        </w:rPr>
      </w:pPr>
      <w:r>
        <w:rPr>
          <w:rFonts w:hint="eastAsia"/>
          <w:lang w:val="en-US" w:eastAsia="zh-CN"/>
        </w:rPr>
        <w:t>R1-2408871, Qualcomm Incorporated</w:t>
      </w:r>
    </w:p>
    <w:p>
      <w:pPr>
        <w:numPr>
          <w:ilvl w:val="0"/>
          <w:numId w:val="7"/>
        </w:numPr>
        <w:ind w:left="0" w:leftChars="0" w:firstLine="0" w:firstLineChars="0"/>
        <w:rPr>
          <w:rFonts w:hint="default"/>
          <w:lang w:val="en-US" w:eastAsia="zh-CN"/>
        </w:rPr>
      </w:pPr>
      <w:r>
        <w:rPr>
          <w:rFonts w:hint="eastAsia"/>
          <w:lang w:val="en-US" w:eastAsia="zh-CN"/>
        </w:rPr>
        <w:t>R1-2407772, Thales</w:t>
      </w:r>
    </w:p>
    <w:p>
      <w:pPr>
        <w:numPr>
          <w:ilvl w:val="0"/>
          <w:numId w:val="7"/>
        </w:numPr>
        <w:ind w:left="0" w:leftChars="0" w:firstLine="0" w:firstLineChars="0"/>
        <w:rPr>
          <w:rFonts w:hint="default"/>
          <w:lang w:val="en-US" w:eastAsia="zh-CN"/>
        </w:rPr>
      </w:pPr>
      <w:r>
        <w:rPr>
          <w:rFonts w:hint="eastAsia"/>
          <w:lang w:val="en-US" w:eastAsia="zh-CN"/>
        </w:rPr>
        <w:t>R1-2407937, ZTE Corporation, Sanechips</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EB747"/>
    <w:multiLevelType w:val="singleLevel"/>
    <w:tmpl w:val="9A6EB747"/>
    <w:lvl w:ilvl="0" w:tentative="0">
      <w:start w:val="1"/>
      <w:numFmt w:val="bullet"/>
      <w:lvlText w:val=""/>
      <w:lvlJc w:val="left"/>
      <w:pPr>
        <w:ind w:left="420" w:hanging="420"/>
      </w:pPr>
      <w:rPr>
        <w:rFonts w:hint="default" w:ascii="Wingdings" w:hAnsi="Wingdings"/>
      </w:rPr>
    </w:lvl>
  </w:abstractNum>
  <w:abstractNum w:abstractNumId="1">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2">
    <w:nsid w:val="42963C95"/>
    <w:multiLevelType w:val="multilevel"/>
    <w:tmpl w:val="42963C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5F723A5E"/>
    <w:multiLevelType w:val="singleLevel"/>
    <w:tmpl w:val="5F723A5E"/>
    <w:lvl w:ilvl="0" w:tentative="0">
      <w:start w:val="1"/>
      <w:numFmt w:val="decimal"/>
      <w:suff w:val="space"/>
      <w:lvlText w:val="[%1]"/>
      <w:lvlJc w:val="left"/>
    </w:lvl>
  </w:abstractNum>
  <w:abstractNum w:abstractNumId="5">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6"/>
  </w:num>
  <w:num w:numId="2">
    <w:abstractNumId w:val="3"/>
  </w:num>
  <w:num w:numId="3">
    <w:abstractNumId w:val="1"/>
  </w:num>
  <w:num w:numId="4">
    <w:abstractNumId w:val="5"/>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2383"/>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76FCD"/>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0373E"/>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4F5D35"/>
    <w:rsid w:val="01536085"/>
    <w:rsid w:val="0158163D"/>
    <w:rsid w:val="01652E48"/>
    <w:rsid w:val="01742D8F"/>
    <w:rsid w:val="01862D0E"/>
    <w:rsid w:val="018F1743"/>
    <w:rsid w:val="018F25C8"/>
    <w:rsid w:val="01906A5B"/>
    <w:rsid w:val="01907C39"/>
    <w:rsid w:val="019F41BD"/>
    <w:rsid w:val="01CE0603"/>
    <w:rsid w:val="01D51FE8"/>
    <w:rsid w:val="01E70C97"/>
    <w:rsid w:val="01EA15CF"/>
    <w:rsid w:val="0209621F"/>
    <w:rsid w:val="021951FF"/>
    <w:rsid w:val="023A59BC"/>
    <w:rsid w:val="02402E7C"/>
    <w:rsid w:val="024F315C"/>
    <w:rsid w:val="02505886"/>
    <w:rsid w:val="025A5C68"/>
    <w:rsid w:val="026D6C37"/>
    <w:rsid w:val="027C74A2"/>
    <w:rsid w:val="029011A2"/>
    <w:rsid w:val="02A03627"/>
    <w:rsid w:val="02B66382"/>
    <w:rsid w:val="02D75C0C"/>
    <w:rsid w:val="02DB4554"/>
    <w:rsid w:val="02DD1CD4"/>
    <w:rsid w:val="02DF0D66"/>
    <w:rsid w:val="02EC4357"/>
    <w:rsid w:val="02EE768C"/>
    <w:rsid w:val="02FA1082"/>
    <w:rsid w:val="031778E0"/>
    <w:rsid w:val="0327096F"/>
    <w:rsid w:val="032737B0"/>
    <w:rsid w:val="032A315A"/>
    <w:rsid w:val="03481CC2"/>
    <w:rsid w:val="034E163D"/>
    <w:rsid w:val="034F02E2"/>
    <w:rsid w:val="03572405"/>
    <w:rsid w:val="035A6E90"/>
    <w:rsid w:val="037709BE"/>
    <w:rsid w:val="037A1943"/>
    <w:rsid w:val="037F33BE"/>
    <w:rsid w:val="03AF196F"/>
    <w:rsid w:val="03BF3D9F"/>
    <w:rsid w:val="03BF72E7"/>
    <w:rsid w:val="03C80AD2"/>
    <w:rsid w:val="03C95263"/>
    <w:rsid w:val="03CA7EB2"/>
    <w:rsid w:val="03F0584F"/>
    <w:rsid w:val="03F61251"/>
    <w:rsid w:val="03FB5627"/>
    <w:rsid w:val="04043AA5"/>
    <w:rsid w:val="04076F95"/>
    <w:rsid w:val="0409766A"/>
    <w:rsid w:val="04242812"/>
    <w:rsid w:val="042D4C6A"/>
    <w:rsid w:val="04383CC9"/>
    <w:rsid w:val="04421BA4"/>
    <w:rsid w:val="044B12E0"/>
    <w:rsid w:val="046301A2"/>
    <w:rsid w:val="04732FB8"/>
    <w:rsid w:val="04871DE8"/>
    <w:rsid w:val="048F6485"/>
    <w:rsid w:val="04A03924"/>
    <w:rsid w:val="04A12403"/>
    <w:rsid w:val="04A815F7"/>
    <w:rsid w:val="04AB1CB5"/>
    <w:rsid w:val="04AD06A4"/>
    <w:rsid w:val="04BD1E3A"/>
    <w:rsid w:val="04D5637C"/>
    <w:rsid w:val="04DC5D07"/>
    <w:rsid w:val="050C7718"/>
    <w:rsid w:val="0510745B"/>
    <w:rsid w:val="05214F03"/>
    <w:rsid w:val="052F7D10"/>
    <w:rsid w:val="055E02FB"/>
    <w:rsid w:val="05630D81"/>
    <w:rsid w:val="056A3BE2"/>
    <w:rsid w:val="058C4826"/>
    <w:rsid w:val="05AD05DE"/>
    <w:rsid w:val="05AE2916"/>
    <w:rsid w:val="05B1379B"/>
    <w:rsid w:val="05C20597"/>
    <w:rsid w:val="05C6466C"/>
    <w:rsid w:val="05D57C9F"/>
    <w:rsid w:val="05DB67C3"/>
    <w:rsid w:val="05E60F0C"/>
    <w:rsid w:val="05F02736"/>
    <w:rsid w:val="05F61BB8"/>
    <w:rsid w:val="06026AB1"/>
    <w:rsid w:val="060D0D66"/>
    <w:rsid w:val="062C2061"/>
    <w:rsid w:val="062D43AF"/>
    <w:rsid w:val="06311BAC"/>
    <w:rsid w:val="064707DC"/>
    <w:rsid w:val="066722D4"/>
    <w:rsid w:val="067C67DB"/>
    <w:rsid w:val="067F65D2"/>
    <w:rsid w:val="068158A4"/>
    <w:rsid w:val="06A05FC0"/>
    <w:rsid w:val="06AE1485"/>
    <w:rsid w:val="06E54956"/>
    <w:rsid w:val="07005A0C"/>
    <w:rsid w:val="07007517"/>
    <w:rsid w:val="07073FA3"/>
    <w:rsid w:val="070F1174"/>
    <w:rsid w:val="072F7FC6"/>
    <w:rsid w:val="0732584E"/>
    <w:rsid w:val="074109F4"/>
    <w:rsid w:val="07583E9D"/>
    <w:rsid w:val="075A7EF6"/>
    <w:rsid w:val="076202A2"/>
    <w:rsid w:val="076A2A73"/>
    <w:rsid w:val="077C5356"/>
    <w:rsid w:val="078759D7"/>
    <w:rsid w:val="07877693"/>
    <w:rsid w:val="0789183B"/>
    <w:rsid w:val="07A51020"/>
    <w:rsid w:val="07AE506C"/>
    <w:rsid w:val="07C05808"/>
    <w:rsid w:val="07C22AAD"/>
    <w:rsid w:val="07C3764D"/>
    <w:rsid w:val="07C644D1"/>
    <w:rsid w:val="07F66AC5"/>
    <w:rsid w:val="07FA2981"/>
    <w:rsid w:val="081F651B"/>
    <w:rsid w:val="082C76F8"/>
    <w:rsid w:val="0833764C"/>
    <w:rsid w:val="083F5297"/>
    <w:rsid w:val="084677D5"/>
    <w:rsid w:val="0848005E"/>
    <w:rsid w:val="084B1A9E"/>
    <w:rsid w:val="084C657D"/>
    <w:rsid w:val="084D12F0"/>
    <w:rsid w:val="087B6B61"/>
    <w:rsid w:val="087E40F9"/>
    <w:rsid w:val="08916AA8"/>
    <w:rsid w:val="089F664F"/>
    <w:rsid w:val="08A153B1"/>
    <w:rsid w:val="08A203F3"/>
    <w:rsid w:val="08AF00C1"/>
    <w:rsid w:val="08B531C0"/>
    <w:rsid w:val="08BB1078"/>
    <w:rsid w:val="08BD1F16"/>
    <w:rsid w:val="08C469E4"/>
    <w:rsid w:val="08C56DB2"/>
    <w:rsid w:val="08C90024"/>
    <w:rsid w:val="08CF0DB9"/>
    <w:rsid w:val="08D53034"/>
    <w:rsid w:val="08DA28B3"/>
    <w:rsid w:val="08DD2BEF"/>
    <w:rsid w:val="0903652D"/>
    <w:rsid w:val="090556C6"/>
    <w:rsid w:val="09104DCD"/>
    <w:rsid w:val="0913040F"/>
    <w:rsid w:val="094C40B4"/>
    <w:rsid w:val="095B4A62"/>
    <w:rsid w:val="09606948"/>
    <w:rsid w:val="096D2D40"/>
    <w:rsid w:val="096D7D04"/>
    <w:rsid w:val="096E0D4F"/>
    <w:rsid w:val="09736AE0"/>
    <w:rsid w:val="099C4684"/>
    <w:rsid w:val="09AE4A64"/>
    <w:rsid w:val="09E30E5D"/>
    <w:rsid w:val="09F25D5F"/>
    <w:rsid w:val="0A1131EF"/>
    <w:rsid w:val="0A141797"/>
    <w:rsid w:val="0A143BE1"/>
    <w:rsid w:val="0A220AAD"/>
    <w:rsid w:val="0A263E9C"/>
    <w:rsid w:val="0A286DFB"/>
    <w:rsid w:val="0A5002F7"/>
    <w:rsid w:val="0A5164D1"/>
    <w:rsid w:val="0A5A6688"/>
    <w:rsid w:val="0A5C46AC"/>
    <w:rsid w:val="0A6C43DE"/>
    <w:rsid w:val="0A8D7FF9"/>
    <w:rsid w:val="0A9F5F1D"/>
    <w:rsid w:val="0ABC02E8"/>
    <w:rsid w:val="0AC16484"/>
    <w:rsid w:val="0ACB2015"/>
    <w:rsid w:val="0AD20D5E"/>
    <w:rsid w:val="0AD555AC"/>
    <w:rsid w:val="0AED24FC"/>
    <w:rsid w:val="0B0F4A80"/>
    <w:rsid w:val="0B1B1997"/>
    <w:rsid w:val="0B24532C"/>
    <w:rsid w:val="0B3F6621"/>
    <w:rsid w:val="0B46021F"/>
    <w:rsid w:val="0B4D2A88"/>
    <w:rsid w:val="0B527B25"/>
    <w:rsid w:val="0B5843AD"/>
    <w:rsid w:val="0B5B4CA4"/>
    <w:rsid w:val="0B5E04B4"/>
    <w:rsid w:val="0B5E0983"/>
    <w:rsid w:val="0B6130F7"/>
    <w:rsid w:val="0B6A4840"/>
    <w:rsid w:val="0B707256"/>
    <w:rsid w:val="0B7129F9"/>
    <w:rsid w:val="0B744B6D"/>
    <w:rsid w:val="0B7E60C9"/>
    <w:rsid w:val="0B8730CC"/>
    <w:rsid w:val="0B927AF3"/>
    <w:rsid w:val="0B987AF4"/>
    <w:rsid w:val="0B997D22"/>
    <w:rsid w:val="0BA069F6"/>
    <w:rsid w:val="0BB6397D"/>
    <w:rsid w:val="0BC97B63"/>
    <w:rsid w:val="0BD644F2"/>
    <w:rsid w:val="0BE05B3D"/>
    <w:rsid w:val="0BEB139D"/>
    <w:rsid w:val="0BEF4F2C"/>
    <w:rsid w:val="0BF03462"/>
    <w:rsid w:val="0BF56721"/>
    <w:rsid w:val="0C0B5D87"/>
    <w:rsid w:val="0C1E2E71"/>
    <w:rsid w:val="0C2D4BD9"/>
    <w:rsid w:val="0C3A0165"/>
    <w:rsid w:val="0C5161F8"/>
    <w:rsid w:val="0C52360D"/>
    <w:rsid w:val="0C6B5BA9"/>
    <w:rsid w:val="0C6E60F3"/>
    <w:rsid w:val="0C7C1976"/>
    <w:rsid w:val="0C830617"/>
    <w:rsid w:val="0C93502E"/>
    <w:rsid w:val="0CA42D4A"/>
    <w:rsid w:val="0CAC6DE2"/>
    <w:rsid w:val="0CBA5E3E"/>
    <w:rsid w:val="0CCB3B11"/>
    <w:rsid w:val="0CDE5118"/>
    <w:rsid w:val="0CDE55BC"/>
    <w:rsid w:val="0CDF3914"/>
    <w:rsid w:val="0CE7776D"/>
    <w:rsid w:val="0CEA2CF7"/>
    <w:rsid w:val="0D035130"/>
    <w:rsid w:val="0D23336E"/>
    <w:rsid w:val="0D277ECF"/>
    <w:rsid w:val="0D284B82"/>
    <w:rsid w:val="0D2D1208"/>
    <w:rsid w:val="0D3A5239"/>
    <w:rsid w:val="0D3A7039"/>
    <w:rsid w:val="0D4356A8"/>
    <w:rsid w:val="0D8735F9"/>
    <w:rsid w:val="0D8972A3"/>
    <w:rsid w:val="0D8C24E1"/>
    <w:rsid w:val="0D900193"/>
    <w:rsid w:val="0D90360F"/>
    <w:rsid w:val="0D94436C"/>
    <w:rsid w:val="0D980C13"/>
    <w:rsid w:val="0DB607B8"/>
    <w:rsid w:val="0DB963BF"/>
    <w:rsid w:val="0DC22600"/>
    <w:rsid w:val="0DC51AC4"/>
    <w:rsid w:val="0DC63EF2"/>
    <w:rsid w:val="0DD33F97"/>
    <w:rsid w:val="0DD75C5E"/>
    <w:rsid w:val="0DE9579A"/>
    <w:rsid w:val="0DE969F5"/>
    <w:rsid w:val="0DED4141"/>
    <w:rsid w:val="0DFF4B13"/>
    <w:rsid w:val="0E0132C0"/>
    <w:rsid w:val="0E041001"/>
    <w:rsid w:val="0E093416"/>
    <w:rsid w:val="0E0C3E0B"/>
    <w:rsid w:val="0E1F1160"/>
    <w:rsid w:val="0E402695"/>
    <w:rsid w:val="0E4F7F50"/>
    <w:rsid w:val="0E5C591E"/>
    <w:rsid w:val="0E6A704C"/>
    <w:rsid w:val="0E6B4543"/>
    <w:rsid w:val="0E777792"/>
    <w:rsid w:val="0E7B1FCA"/>
    <w:rsid w:val="0E880E39"/>
    <w:rsid w:val="0E9D025B"/>
    <w:rsid w:val="0EA8225F"/>
    <w:rsid w:val="0ED01837"/>
    <w:rsid w:val="0ED33A29"/>
    <w:rsid w:val="0ED8660B"/>
    <w:rsid w:val="0EF97174"/>
    <w:rsid w:val="0F0F3D45"/>
    <w:rsid w:val="0F2550AA"/>
    <w:rsid w:val="0F2B36C0"/>
    <w:rsid w:val="0F31540C"/>
    <w:rsid w:val="0F3A116B"/>
    <w:rsid w:val="0F4942A2"/>
    <w:rsid w:val="0F4A66BD"/>
    <w:rsid w:val="0F511411"/>
    <w:rsid w:val="0F703346"/>
    <w:rsid w:val="0F80004E"/>
    <w:rsid w:val="0F871EAB"/>
    <w:rsid w:val="0F9D3FD2"/>
    <w:rsid w:val="0F9F1528"/>
    <w:rsid w:val="0FDF5A14"/>
    <w:rsid w:val="0FFF3FF2"/>
    <w:rsid w:val="10043FB2"/>
    <w:rsid w:val="1008703A"/>
    <w:rsid w:val="10126FBC"/>
    <w:rsid w:val="103809FF"/>
    <w:rsid w:val="10764104"/>
    <w:rsid w:val="108A5F33"/>
    <w:rsid w:val="1096068D"/>
    <w:rsid w:val="109F23E5"/>
    <w:rsid w:val="10B951CF"/>
    <w:rsid w:val="10B9797C"/>
    <w:rsid w:val="10BB3068"/>
    <w:rsid w:val="10D24280"/>
    <w:rsid w:val="10D82C05"/>
    <w:rsid w:val="10E05191"/>
    <w:rsid w:val="10FC1774"/>
    <w:rsid w:val="10FC7A16"/>
    <w:rsid w:val="110D2C89"/>
    <w:rsid w:val="110E3EB6"/>
    <w:rsid w:val="11131D94"/>
    <w:rsid w:val="111778A8"/>
    <w:rsid w:val="111E4B32"/>
    <w:rsid w:val="1124277B"/>
    <w:rsid w:val="113B4A52"/>
    <w:rsid w:val="114E4423"/>
    <w:rsid w:val="11617971"/>
    <w:rsid w:val="11622F64"/>
    <w:rsid w:val="116F4939"/>
    <w:rsid w:val="117400AF"/>
    <w:rsid w:val="11782338"/>
    <w:rsid w:val="117D2D78"/>
    <w:rsid w:val="11846297"/>
    <w:rsid w:val="1186164E"/>
    <w:rsid w:val="118660F9"/>
    <w:rsid w:val="1187354D"/>
    <w:rsid w:val="1191682E"/>
    <w:rsid w:val="11A4592F"/>
    <w:rsid w:val="11AD4D58"/>
    <w:rsid w:val="11B5691A"/>
    <w:rsid w:val="11B67206"/>
    <w:rsid w:val="11BA4661"/>
    <w:rsid w:val="11BA6A1A"/>
    <w:rsid w:val="11DA456B"/>
    <w:rsid w:val="11E411C4"/>
    <w:rsid w:val="11EE75FC"/>
    <w:rsid w:val="11FA2349"/>
    <w:rsid w:val="12044AB3"/>
    <w:rsid w:val="120C7685"/>
    <w:rsid w:val="121015B2"/>
    <w:rsid w:val="12342A01"/>
    <w:rsid w:val="12371472"/>
    <w:rsid w:val="12533BE9"/>
    <w:rsid w:val="12563736"/>
    <w:rsid w:val="12583BA5"/>
    <w:rsid w:val="126548EE"/>
    <w:rsid w:val="12777B70"/>
    <w:rsid w:val="12817181"/>
    <w:rsid w:val="129E41E5"/>
    <w:rsid w:val="12AA4BE9"/>
    <w:rsid w:val="12B1333A"/>
    <w:rsid w:val="12C003F7"/>
    <w:rsid w:val="12C7679B"/>
    <w:rsid w:val="12DD774D"/>
    <w:rsid w:val="12E20B88"/>
    <w:rsid w:val="130D494D"/>
    <w:rsid w:val="13202B24"/>
    <w:rsid w:val="133E4EC4"/>
    <w:rsid w:val="135702FC"/>
    <w:rsid w:val="13581549"/>
    <w:rsid w:val="136404F3"/>
    <w:rsid w:val="137E2663"/>
    <w:rsid w:val="13B61E8E"/>
    <w:rsid w:val="13C23177"/>
    <w:rsid w:val="13C23A1B"/>
    <w:rsid w:val="13C76244"/>
    <w:rsid w:val="13CF28FB"/>
    <w:rsid w:val="13DA7C15"/>
    <w:rsid w:val="13EA5E5F"/>
    <w:rsid w:val="13EC3FBB"/>
    <w:rsid w:val="14015831"/>
    <w:rsid w:val="140329A8"/>
    <w:rsid w:val="14107AE9"/>
    <w:rsid w:val="14157DFD"/>
    <w:rsid w:val="14175E0A"/>
    <w:rsid w:val="141F1BA5"/>
    <w:rsid w:val="142A2204"/>
    <w:rsid w:val="144E7AE0"/>
    <w:rsid w:val="14514FE4"/>
    <w:rsid w:val="1452019E"/>
    <w:rsid w:val="1472255F"/>
    <w:rsid w:val="14782396"/>
    <w:rsid w:val="148666C5"/>
    <w:rsid w:val="148942E3"/>
    <w:rsid w:val="148B031E"/>
    <w:rsid w:val="14AC25B0"/>
    <w:rsid w:val="14AE0BED"/>
    <w:rsid w:val="14AF303C"/>
    <w:rsid w:val="14BE1377"/>
    <w:rsid w:val="14BE55AD"/>
    <w:rsid w:val="14D436B1"/>
    <w:rsid w:val="14E52CFF"/>
    <w:rsid w:val="14EF0366"/>
    <w:rsid w:val="15010F20"/>
    <w:rsid w:val="1502113A"/>
    <w:rsid w:val="150D7916"/>
    <w:rsid w:val="151308D4"/>
    <w:rsid w:val="15281376"/>
    <w:rsid w:val="153A74E0"/>
    <w:rsid w:val="153F04BB"/>
    <w:rsid w:val="15422545"/>
    <w:rsid w:val="15532609"/>
    <w:rsid w:val="156508EF"/>
    <w:rsid w:val="15693006"/>
    <w:rsid w:val="15716A99"/>
    <w:rsid w:val="157177C3"/>
    <w:rsid w:val="15755788"/>
    <w:rsid w:val="157F2CB1"/>
    <w:rsid w:val="1581047E"/>
    <w:rsid w:val="15895642"/>
    <w:rsid w:val="15A444EB"/>
    <w:rsid w:val="15B0540D"/>
    <w:rsid w:val="15B7532E"/>
    <w:rsid w:val="15C84147"/>
    <w:rsid w:val="15CA017F"/>
    <w:rsid w:val="15D44CB9"/>
    <w:rsid w:val="15D64DE0"/>
    <w:rsid w:val="15D71AD5"/>
    <w:rsid w:val="15DC38C2"/>
    <w:rsid w:val="15DF5D8E"/>
    <w:rsid w:val="15F23B4A"/>
    <w:rsid w:val="15FC08F6"/>
    <w:rsid w:val="15FF5FA5"/>
    <w:rsid w:val="160339FE"/>
    <w:rsid w:val="16385E17"/>
    <w:rsid w:val="1646133C"/>
    <w:rsid w:val="16535A2F"/>
    <w:rsid w:val="165931D9"/>
    <w:rsid w:val="165B7F9E"/>
    <w:rsid w:val="165D1188"/>
    <w:rsid w:val="16682D3E"/>
    <w:rsid w:val="167046E9"/>
    <w:rsid w:val="167E382D"/>
    <w:rsid w:val="16B64EC9"/>
    <w:rsid w:val="16C8771D"/>
    <w:rsid w:val="16DC0535"/>
    <w:rsid w:val="16FA20DA"/>
    <w:rsid w:val="17060D55"/>
    <w:rsid w:val="170716B6"/>
    <w:rsid w:val="170F5DE2"/>
    <w:rsid w:val="171966F1"/>
    <w:rsid w:val="17203431"/>
    <w:rsid w:val="172C56B5"/>
    <w:rsid w:val="1748083E"/>
    <w:rsid w:val="174C3A48"/>
    <w:rsid w:val="17553F9F"/>
    <w:rsid w:val="175623CE"/>
    <w:rsid w:val="175E2809"/>
    <w:rsid w:val="176538DA"/>
    <w:rsid w:val="17787D90"/>
    <w:rsid w:val="1794775D"/>
    <w:rsid w:val="17BB3CFC"/>
    <w:rsid w:val="17C376AD"/>
    <w:rsid w:val="17CB4905"/>
    <w:rsid w:val="17D01F3A"/>
    <w:rsid w:val="17DC7DAF"/>
    <w:rsid w:val="17DF40F7"/>
    <w:rsid w:val="180E4FC5"/>
    <w:rsid w:val="18171331"/>
    <w:rsid w:val="181F3A21"/>
    <w:rsid w:val="18396192"/>
    <w:rsid w:val="184A4BE3"/>
    <w:rsid w:val="18500258"/>
    <w:rsid w:val="185060EC"/>
    <w:rsid w:val="18543427"/>
    <w:rsid w:val="18545FAF"/>
    <w:rsid w:val="185A42FA"/>
    <w:rsid w:val="187A2E35"/>
    <w:rsid w:val="18870C54"/>
    <w:rsid w:val="189D2207"/>
    <w:rsid w:val="18A45C40"/>
    <w:rsid w:val="18D57338"/>
    <w:rsid w:val="18E96032"/>
    <w:rsid w:val="18EE62E8"/>
    <w:rsid w:val="18F96461"/>
    <w:rsid w:val="19021DA3"/>
    <w:rsid w:val="19094BBF"/>
    <w:rsid w:val="19116F8E"/>
    <w:rsid w:val="193F18FA"/>
    <w:rsid w:val="194E6691"/>
    <w:rsid w:val="19551A74"/>
    <w:rsid w:val="195942F0"/>
    <w:rsid w:val="195F7D63"/>
    <w:rsid w:val="196B18E4"/>
    <w:rsid w:val="1975604A"/>
    <w:rsid w:val="197A625B"/>
    <w:rsid w:val="197C2433"/>
    <w:rsid w:val="19933139"/>
    <w:rsid w:val="19A370D2"/>
    <w:rsid w:val="19AC4F46"/>
    <w:rsid w:val="19BD7FCA"/>
    <w:rsid w:val="19C83DDC"/>
    <w:rsid w:val="19CC6F5F"/>
    <w:rsid w:val="19D57461"/>
    <w:rsid w:val="19E5590B"/>
    <w:rsid w:val="19E74602"/>
    <w:rsid w:val="19EE7D0B"/>
    <w:rsid w:val="1A0728E2"/>
    <w:rsid w:val="1A077D86"/>
    <w:rsid w:val="1A085685"/>
    <w:rsid w:val="1A191F3E"/>
    <w:rsid w:val="1A342071"/>
    <w:rsid w:val="1A5163D6"/>
    <w:rsid w:val="1A54768F"/>
    <w:rsid w:val="1A5A669E"/>
    <w:rsid w:val="1A796C32"/>
    <w:rsid w:val="1A9B6333"/>
    <w:rsid w:val="1AA11028"/>
    <w:rsid w:val="1AAC1E50"/>
    <w:rsid w:val="1AB9028C"/>
    <w:rsid w:val="1AB91166"/>
    <w:rsid w:val="1ABD699B"/>
    <w:rsid w:val="1AC56317"/>
    <w:rsid w:val="1AD6319E"/>
    <w:rsid w:val="1AE47B80"/>
    <w:rsid w:val="1B4B651F"/>
    <w:rsid w:val="1B75731B"/>
    <w:rsid w:val="1B777BC9"/>
    <w:rsid w:val="1B7D10D5"/>
    <w:rsid w:val="1B8D6B92"/>
    <w:rsid w:val="1B936CD6"/>
    <w:rsid w:val="1B990279"/>
    <w:rsid w:val="1B9B4E1C"/>
    <w:rsid w:val="1B9C50E9"/>
    <w:rsid w:val="1BA11A37"/>
    <w:rsid w:val="1BA125DD"/>
    <w:rsid w:val="1BA13662"/>
    <w:rsid w:val="1BA43ED6"/>
    <w:rsid w:val="1BAA5FDD"/>
    <w:rsid w:val="1BAD4429"/>
    <w:rsid w:val="1BB80557"/>
    <w:rsid w:val="1BBC1606"/>
    <w:rsid w:val="1BD815BE"/>
    <w:rsid w:val="1BD91A80"/>
    <w:rsid w:val="1BE10BC8"/>
    <w:rsid w:val="1BE134D0"/>
    <w:rsid w:val="1BE641ED"/>
    <w:rsid w:val="1BF24F3D"/>
    <w:rsid w:val="1C1D36F1"/>
    <w:rsid w:val="1C1F1D32"/>
    <w:rsid w:val="1C200EAE"/>
    <w:rsid w:val="1C291BAA"/>
    <w:rsid w:val="1C386892"/>
    <w:rsid w:val="1C3A035E"/>
    <w:rsid w:val="1C4A2683"/>
    <w:rsid w:val="1C4E11FC"/>
    <w:rsid w:val="1C5F292D"/>
    <w:rsid w:val="1C5F3B2B"/>
    <w:rsid w:val="1C631E26"/>
    <w:rsid w:val="1C7530BF"/>
    <w:rsid w:val="1C8361D3"/>
    <w:rsid w:val="1C954E9B"/>
    <w:rsid w:val="1CA64AB4"/>
    <w:rsid w:val="1CBB1BB0"/>
    <w:rsid w:val="1CBC5611"/>
    <w:rsid w:val="1CCB7770"/>
    <w:rsid w:val="1CD22EF6"/>
    <w:rsid w:val="1CD7177C"/>
    <w:rsid w:val="1CF005FD"/>
    <w:rsid w:val="1CF6531E"/>
    <w:rsid w:val="1CF73467"/>
    <w:rsid w:val="1D0B195E"/>
    <w:rsid w:val="1D1B606C"/>
    <w:rsid w:val="1D3570D5"/>
    <w:rsid w:val="1D4E0EB2"/>
    <w:rsid w:val="1D5E10DB"/>
    <w:rsid w:val="1D607992"/>
    <w:rsid w:val="1D693FA7"/>
    <w:rsid w:val="1D771F63"/>
    <w:rsid w:val="1D8F4E65"/>
    <w:rsid w:val="1D9C0F42"/>
    <w:rsid w:val="1DA063BF"/>
    <w:rsid w:val="1DA10BA9"/>
    <w:rsid w:val="1DA23326"/>
    <w:rsid w:val="1DA55031"/>
    <w:rsid w:val="1DAB5436"/>
    <w:rsid w:val="1DAE7EBF"/>
    <w:rsid w:val="1DB41D7B"/>
    <w:rsid w:val="1DB553DF"/>
    <w:rsid w:val="1DBF1882"/>
    <w:rsid w:val="1DC84414"/>
    <w:rsid w:val="1DCA3F6C"/>
    <w:rsid w:val="1DD36C07"/>
    <w:rsid w:val="1DF17BE1"/>
    <w:rsid w:val="1DF91071"/>
    <w:rsid w:val="1E004D92"/>
    <w:rsid w:val="1E167557"/>
    <w:rsid w:val="1E302A17"/>
    <w:rsid w:val="1E4719A3"/>
    <w:rsid w:val="1E551952"/>
    <w:rsid w:val="1E5F1F97"/>
    <w:rsid w:val="1E6C5F4E"/>
    <w:rsid w:val="1E755015"/>
    <w:rsid w:val="1EA65561"/>
    <w:rsid w:val="1EAD4127"/>
    <w:rsid w:val="1EB70BD9"/>
    <w:rsid w:val="1EB8797A"/>
    <w:rsid w:val="1ECA7392"/>
    <w:rsid w:val="1EEB78C7"/>
    <w:rsid w:val="1EEC719E"/>
    <w:rsid w:val="1EEE2F09"/>
    <w:rsid w:val="1EF7018A"/>
    <w:rsid w:val="1EFC3EB1"/>
    <w:rsid w:val="1F0242AA"/>
    <w:rsid w:val="1F044236"/>
    <w:rsid w:val="1F111D05"/>
    <w:rsid w:val="1F25251D"/>
    <w:rsid w:val="1F2B5438"/>
    <w:rsid w:val="1F390590"/>
    <w:rsid w:val="1F424A01"/>
    <w:rsid w:val="1F4B0BE5"/>
    <w:rsid w:val="1F4C33CB"/>
    <w:rsid w:val="1F4C6748"/>
    <w:rsid w:val="1F595467"/>
    <w:rsid w:val="1F5B2F4F"/>
    <w:rsid w:val="1F5C06A1"/>
    <w:rsid w:val="1F774357"/>
    <w:rsid w:val="1F85321F"/>
    <w:rsid w:val="1FA93A51"/>
    <w:rsid w:val="1FB80942"/>
    <w:rsid w:val="1FBB5482"/>
    <w:rsid w:val="1FCE373D"/>
    <w:rsid w:val="2001262E"/>
    <w:rsid w:val="200D64BE"/>
    <w:rsid w:val="20153599"/>
    <w:rsid w:val="201B2789"/>
    <w:rsid w:val="20214DF0"/>
    <w:rsid w:val="20256516"/>
    <w:rsid w:val="203A2A6C"/>
    <w:rsid w:val="203B16E3"/>
    <w:rsid w:val="203D39F0"/>
    <w:rsid w:val="20501935"/>
    <w:rsid w:val="20584BED"/>
    <w:rsid w:val="207F7CDD"/>
    <w:rsid w:val="20A4578F"/>
    <w:rsid w:val="20BC55C4"/>
    <w:rsid w:val="20D40A6C"/>
    <w:rsid w:val="20D60AAE"/>
    <w:rsid w:val="20E35826"/>
    <w:rsid w:val="21061BA2"/>
    <w:rsid w:val="21111EDC"/>
    <w:rsid w:val="2121427E"/>
    <w:rsid w:val="21262CBA"/>
    <w:rsid w:val="212B1C97"/>
    <w:rsid w:val="213272EB"/>
    <w:rsid w:val="21361FB5"/>
    <w:rsid w:val="214B3D89"/>
    <w:rsid w:val="214C402C"/>
    <w:rsid w:val="2154483D"/>
    <w:rsid w:val="21575426"/>
    <w:rsid w:val="215C1F77"/>
    <w:rsid w:val="216C7D5C"/>
    <w:rsid w:val="2177769E"/>
    <w:rsid w:val="217C4489"/>
    <w:rsid w:val="21A93954"/>
    <w:rsid w:val="21D25FF2"/>
    <w:rsid w:val="21D35B8A"/>
    <w:rsid w:val="21D5280D"/>
    <w:rsid w:val="21EB6B55"/>
    <w:rsid w:val="21F70210"/>
    <w:rsid w:val="22110474"/>
    <w:rsid w:val="221E0187"/>
    <w:rsid w:val="22344A9E"/>
    <w:rsid w:val="22363269"/>
    <w:rsid w:val="223C2DAF"/>
    <w:rsid w:val="223E2651"/>
    <w:rsid w:val="224E39C0"/>
    <w:rsid w:val="226575C4"/>
    <w:rsid w:val="22682C5C"/>
    <w:rsid w:val="226D3EEA"/>
    <w:rsid w:val="226E077B"/>
    <w:rsid w:val="2278331B"/>
    <w:rsid w:val="228935B5"/>
    <w:rsid w:val="22923DE9"/>
    <w:rsid w:val="22973417"/>
    <w:rsid w:val="22981651"/>
    <w:rsid w:val="229D5794"/>
    <w:rsid w:val="22AD1241"/>
    <w:rsid w:val="22BA2F33"/>
    <w:rsid w:val="22C17DB5"/>
    <w:rsid w:val="22C32593"/>
    <w:rsid w:val="22C629AC"/>
    <w:rsid w:val="22D6244E"/>
    <w:rsid w:val="22DD27AA"/>
    <w:rsid w:val="22E5731A"/>
    <w:rsid w:val="22E96F92"/>
    <w:rsid w:val="23060CEA"/>
    <w:rsid w:val="23061E9D"/>
    <w:rsid w:val="230D3451"/>
    <w:rsid w:val="230E5678"/>
    <w:rsid w:val="23257653"/>
    <w:rsid w:val="23346FCE"/>
    <w:rsid w:val="23441FFA"/>
    <w:rsid w:val="234B3276"/>
    <w:rsid w:val="23603619"/>
    <w:rsid w:val="23626207"/>
    <w:rsid w:val="23673DEC"/>
    <w:rsid w:val="23773623"/>
    <w:rsid w:val="2377693D"/>
    <w:rsid w:val="239C0243"/>
    <w:rsid w:val="239F724D"/>
    <w:rsid w:val="23A14082"/>
    <w:rsid w:val="23AB1721"/>
    <w:rsid w:val="23BD1C54"/>
    <w:rsid w:val="23D90902"/>
    <w:rsid w:val="23DA1C5E"/>
    <w:rsid w:val="23EF0BE1"/>
    <w:rsid w:val="23FA709A"/>
    <w:rsid w:val="24002E5E"/>
    <w:rsid w:val="241D724F"/>
    <w:rsid w:val="24232DE5"/>
    <w:rsid w:val="244A408C"/>
    <w:rsid w:val="24594095"/>
    <w:rsid w:val="245A6743"/>
    <w:rsid w:val="246A08B9"/>
    <w:rsid w:val="24754B15"/>
    <w:rsid w:val="247F64CC"/>
    <w:rsid w:val="248D420D"/>
    <w:rsid w:val="24921B27"/>
    <w:rsid w:val="24A0121D"/>
    <w:rsid w:val="24B0652D"/>
    <w:rsid w:val="24B97631"/>
    <w:rsid w:val="24C90419"/>
    <w:rsid w:val="24D24D56"/>
    <w:rsid w:val="24E32289"/>
    <w:rsid w:val="24ED1C1E"/>
    <w:rsid w:val="24F0284D"/>
    <w:rsid w:val="24F039A5"/>
    <w:rsid w:val="24FF0939"/>
    <w:rsid w:val="2507275F"/>
    <w:rsid w:val="250E20E4"/>
    <w:rsid w:val="25202C91"/>
    <w:rsid w:val="252331A5"/>
    <w:rsid w:val="252733A0"/>
    <w:rsid w:val="253B3A36"/>
    <w:rsid w:val="25425A19"/>
    <w:rsid w:val="25490B3E"/>
    <w:rsid w:val="256F1A53"/>
    <w:rsid w:val="257D0110"/>
    <w:rsid w:val="258B2F2B"/>
    <w:rsid w:val="258B31A0"/>
    <w:rsid w:val="25AB3D1C"/>
    <w:rsid w:val="25AF40C3"/>
    <w:rsid w:val="25BD64D3"/>
    <w:rsid w:val="25CB7FC0"/>
    <w:rsid w:val="25D90A1B"/>
    <w:rsid w:val="25DC0129"/>
    <w:rsid w:val="25E22192"/>
    <w:rsid w:val="25F332FF"/>
    <w:rsid w:val="25FE37D6"/>
    <w:rsid w:val="26110B40"/>
    <w:rsid w:val="26274BB6"/>
    <w:rsid w:val="26356536"/>
    <w:rsid w:val="265205A6"/>
    <w:rsid w:val="266853CB"/>
    <w:rsid w:val="266D329C"/>
    <w:rsid w:val="268B243A"/>
    <w:rsid w:val="269C627F"/>
    <w:rsid w:val="26AA20D3"/>
    <w:rsid w:val="26AA327D"/>
    <w:rsid w:val="26AA349C"/>
    <w:rsid w:val="26B43DCE"/>
    <w:rsid w:val="26C705B0"/>
    <w:rsid w:val="26CB5833"/>
    <w:rsid w:val="26D251BE"/>
    <w:rsid w:val="26DD3B73"/>
    <w:rsid w:val="26E444A5"/>
    <w:rsid w:val="26E576C7"/>
    <w:rsid w:val="26F04260"/>
    <w:rsid w:val="26F81EB4"/>
    <w:rsid w:val="26FB2F1B"/>
    <w:rsid w:val="272D45D3"/>
    <w:rsid w:val="27310A5B"/>
    <w:rsid w:val="27310B9A"/>
    <w:rsid w:val="273477E1"/>
    <w:rsid w:val="273E1C11"/>
    <w:rsid w:val="275265C3"/>
    <w:rsid w:val="276B112C"/>
    <w:rsid w:val="27815619"/>
    <w:rsid w:val="279E2679"/>
    <w:rsid w:val="279F554C"/>
    <w:rsid w:val="27A807C0"/>
    <w:rsid w:val="27C25618"/>
    <w:rsid w:val="27C91472"/>
    <w:rsid w:val="27D65541"/>
    <w:rsid w:val="27E50C24"/>
    <w:rsid w:val="27EC5FCE"/>
    <w:rsid w:val="27F971B2"/>
    <w:rsid w:val="28177BDE"/>
    <w:rsid w:val="28183270"/>
    <w:rsid w:val="281C0F13"/>
    <w:rsid w:val="285E7D99"/>
    <w:rsid w:val="28614255"/>
    <w:rsid w:val="286651CF"/>
    <w:rsid w:val="28671C46"/>
    <w:rsid w:val="28786555"/>
    <w:rsid w:val="2897657D"/>
    <w:rsid w:val="28AB19F4"/>
    <w:rsid w:val="28B018E3"/>
    <w:rsid w:val="28BD5FE3"/>
    <w:rsid w:val="28D71E0B"/>
    <w:rsid w:val="28DC39BE"/>
    <w:rsid w:val="28DD5BCB"/>
    <w:rsid w:val="28E01F8A"/>
    <w:rsid w:val="28F045AC"/>
    <w:rsid w:val="291B318A"/>
    <w:rsid w:val="291D583E"/>
    <w:rsid w:val="293723B4"/>
    <w:rsid w:val="29602BC4"/>
    <w:rsid w:val="299172C0"/>
    <w:rsid w:val="299629CF"/>
    <w:rsid w:val="299760C7"/>
    <w:rsid w:val="2999350D"/>
    <w:rsid w:val="299E7E78"/>
    <w:rsid w:val="29A604F9"/>
    <w:rsid w:val="29B759BC"/>
    <w:rsid w:val="29C00DB7"/>
    <w:rsid w:val="29D60A95"/>
    <w:rsid w:val="29D94FA1"/>
    <w:rsid w:val="29E31604"/>
    <w:rsid w:val="29F12B5D"/>
    <w:rsid w:val="29F87E04"/>
    <w:rsid w:val="29F93602"/>
    <w:rsid w:val="2A070584"/>
    <w:rsid w:val="2A1A7BC7"/>
    <w:rsid w:val="2A1E01A9"/>
    <w:rsid w:val="2A2D73EC"/>
    <w:rsid w:val="2A2E4CEB"/>
    <w:rsid w:val="2A3B565F"/>
    <w:rsid w:val="2A5D0C96"/>
    <w:rsid w:val="2A653259"/>
    <w:rsid w:val="2A8F4841"/>
    <w:rsid w:val="2AA270FE"/>
    <w:rsid w:val="2AA369DD"/>
    <w:rsid w:val="2AD06022"/>
    <w:rsid w:val="2AD63975"/>
    <w:rsid w:val="2ADD1B0D"/>
    <w:rsid w:val="2ADD72E3"/>
    <w:rsid w:val="2AEC47FC"/>
    <w:rsid w:val="2AF1331E"/>
    <w:rsid w:val="2AF81BE3"/>
    <w:rsid w:val="2AFF23A5"/>
    <w:rsid w:val="2B0002B8"/>
    <w:rsid w:val="2B176F87"/>
    <w:rsid w:val="2B361003"/>
    <w:rsid w:val="2B3762A6"/>
    <w:rsid w:val="2B3C6641"/>
    <w:rsid w:val="2B4A27A4"/>
    <w:rsid w:val="2B5B0F6E"/>
    <w:rsid w:val="2B5D30B4"/>
    <w:rsid w:val="2B925FDF"/>
    <w:rsid w:val="2B9970F1"/>
    <w:rsid w:val="2BA545BD"/>
    <w:rsid w:val="2BA60F2A"/>
    <w:rsid w:val="2BA95732"/>
    <w:rsid w:val="2BB74A47"/>
    <w:rsid w:val="2BE501C7"/>
    <w:rsid w:val="2BED2E55"/>
    <w:rsid w:val="2C1738CF"/>
    <w:rsid w:val="2C1945D8"/>
    <w:rsid w:val="2C4E7E38"/>
    <w:rsid w:val="2C5D6089"/>
    <w:rsid w:val="2C6C7918"/>
    <w:rsid w:val="2C783906"/>
    <w:rsid w:val="2C9E472D"/>
    <w:rsid w:val="2CB5787B"/>
    <w:rsid w:val="2CBD3F75"/>
    <w:rsid w:val="2CCA4381"/>
    <w:rsid w:val="2CD30F03"/>
    <w:rsid w:val="2CD66FAA"/>
    <w:rsid w:val="2CEA4162"/>
    <w:rsid w:val="2CF249BE"/>
    <w:rsid w:val="2CFC1554"/>
    <w:rsid w:val="2CFF3512"/>
    <w:rsid w:val="2D0333E4"/>
    <w:rsid w:val="2D0B7148"/>
    <w:rsid w:val="2D17770B"/>
    <w:rsid w:val="2D354DCA"/>
    <w:rsid w:val="2D3E7D46"/>
    <w:rsid w:val="2D6E6943"/>
    <w:rsid w:val="2D7E4AF7"/>
    <w:rsid w:val="2D841FB8"/>
    <w:rsid w:val="2D8519AC"/>
    <w:rsid w:val="2D87777E"/>
    <w:rsid w:val="2D8E349F"/>
    <w:rsid w:val="2D9469E6"/>
    <w:rsid w:val="2D9D7A77"/>
    <w:rsid w:val="2DAF78FF"/>
    <w:rsid w:val="2DC9792A"/>
    <w:rsid w:val="2DD93F77"/>
    <w:rsid w:val="2DDC694B"/>
    <w:rsid w:val="2DDE7A41"/>
    <w:rsid w:val="2DEF20F0"/>
    <w:rsid w:val="2E041306"/>
    <w:rsid w:val="2E06778F"/>
    <w:rsid w:val="2E106E4C"/>
    <w:rsid w:val="2E151FA8"/>
    <w:rsid w:val="2E341724"/>
    <w:rsid w:val="2E4C211D"/>
    <w:rsid w:val="2E4D7F49"/>
    <w:rsid w:val="2E4E05E7"/>
    <w:rsid w:val="2E4E1129"/>
    <w:rsid w:val="2E5B5EA2"/>
    <w:rsid w:val="2E6446EB"/>
    <w:rsid w:val="2E6B07B8"/>
    <w:rsid w:val="2E7632C6"/>
    <w:rsid w:val="2E7F0E61"/>
    <w:rsid w:val="2E7F686F"/>
    <w:rsid w:val="2E870765"/>
    <w:rsid w:val="2E8D0791"/>
    <w:rsid w:val="2E9B39A1"/>
    <w:rsid w:val="2EDD3F6F"/>
    <w:rsid w:val="2EDD77F3"/>
    <w:rsid w:val="2F043E2F"/>
    <w:rsid w:val="2F047EE8"/>
    <w:rsid w:val="2F085C75"/>
    <w:rsid w:val="2F2B12A9"/>
    <w:rsid w:val="2F3C4BFB"/>
    <w:rsid w:val="2F471420"/>
    <w:rsid w:val="2F626907"/>
    <w:rsid w:val="2F6B4720"/>
    <w:rsid w:val="2F956224"/>
    <w:rsid w:val="2FA23A7C"/>
    <w:rsid w:val="2FA30525"/>
    <w:rsid w:val="2FB449B9"/>
    <w:rsid w:val="2FC73BC7"/>
    <w:rsid w:val="2FD33F66"/>
    <w:rsid w:val="2FD408E0"/>
    <w:rsid w:val="2FE311E4"/>
    <w:rsid w:val="2FF608DC"/>
    <w:rsid w:val="2FF71222"/>
    <w:rsid w:val="2FFD3FAC"/>
    <w:rsid w:val="3004586C"/>
    <w:rsid w:val="300B6218"/>
    <w:rsid w:val="30160ACC"/>
    <w:rsid w:val="302651B2"/>
    <w:rsid w:val="3045081F"/>
    <w:rsid w:val="305D69EA"/>
    <w:rsid w:val="306825DD"/>
    <w:rsid w:val="30834BF9"/>
    <w:rsid w:val="308974AE"/>
    <w:rsid w:val="30944718"/>
    <w:rsid w:val="30C01078"/>
    <w:rsid w:val="30CF0FD9"/>
    <w:rsid w:val="30CF5A24"/>
    <w:rsid w:val="30E42C41"/>
    <w:rsid w:val="30F34FAE"/>
    <w:rsid w:val="3133127A"/>
    <w:rsid w:val="31353CD7"/>
    <w:rsid w:val="313E620E"/>
    <w:rsid w:val="313E6CDE"/>
    <w:rsid w:val="313F3759"/>
    <w:rsid w:val="31727F68"/>
    <w:rsid w:val="317662E9"/>
    <w:rsid w:val="31954796"/>
    <w:rsid w:val="31962DAE"/>
    <w:rsid w:val="319F0073"/>
    <w:rsid w:val="31B9498A"/>
    <w:rsid w:val="31BB30A3"/>
    <w:rsid w:val="31CE7B45"/>
    <w:rsid w:val="31DD48DC"/>
    <w:rsid w:val="31E60453"/>
    <w:rsid w:val="32044DED"/>
    <w:rsid w:val="320C562E"/>
    <w:rsid w:val="3215767E"/>
    <w:rsid w:val="321F6337"/>
    <w:rsid w:val="322814D9"/>
    <w:rsid w:val="323B2B02"/>
    <w:rsid w:val="323F70E3"/>
    <w:rsid w:val="324B22D2"/>
    <w:rsid w:val="32575E9A"/>
    <w:rsid w:val="325C3AF5"/>
    <w:rsid w:val="3262622A"/>
    <w:rsid w:val="327A0FE8"/>
    <w:rsid w:val="329F684F"/>
    <w:rsid w:val="32B26B6D"/>
    <w:rsid w:val="32C92CF9"/>
    <w:rsid w:val="32CC0FF0"/>
    <w:rsid w:val="32D16B96"/>
    <w:rsid w:val="32DE1F01"/>
    <w:rsid w:val="32DF7982"/>
    <w:rsid w:val="32E95D13"/>
    <w:rsid w:val="32F96ACA"/>
    <w:rsid w:val="330258B3"/>
    <w:rsid w:val="33054642"/>
    <w:rsid w:val="33106E3B"/>
    <w:rsid w:val="332F0A06"/>
    <w:rsid w:val="33301D0B"/>
    <w:rsid w:val="333E4968"/>
    <w:rsid w:val="334C6704"/>
    <w:rsid w:val="336114D2"/>
    <w:rsid w:val="337E28B4"/>
    <w:rsid w:val="338A0241"/>
    <w:rsid w:val="33951969"/>
    <w:rsid w:val="339B5E01"/>
    <w:rsid w:val="33A23634"/>
    <w:rsid w:val="33A31D7A"/>
    <w:rsid w:val="33A6539B"/>
    <w:rsid w:val="33D163EF"/>
    <w:rsid w:val="33D45DFD"/>
    <w:rsid w:val="33E605A3"/>
    <w:rsid w:val="33E706E6"/>
    <w:rsid w:val="33F14703"/>
    <w:rsid w:val="33F1739F"/>
    <w:rsid w:val="33F7797D"/>
    <w:rsid w:val="340108F8"/>
    <w:rsid w:val="3406027F"/>
    <w:rsid w:val="343E4026"/>
    <w:rsid w:val="345B2367"/>
    <w:rsid w:val="34607876"/>
    <w:rsid w:val="34841338"/>
    <w:rsid w:val="348B5095"/>
    <w:rsid w:val="349C31F7"/>
    <w:rsid w:val="34A12E66"/>
    <w:rsid w:val="34A54544"/>
    <w:rsid w:val="34AE0539"/>
    <w:rsid w:val="34B67588"/>
    <w:rsid w:val="34C068F5"/>
    <w:rsid w:val="34C63AB8"/>
    <w:rsid w:val="34CD5068"/>
    <w:rsid w:val="34CE2B5B"/>
    <w:rsid w:val="34D57664"/>
    <w:rsid w:val="34DD0D0C"/>
    <w:rsid w:val="34DF61CE"/>
    <w:rsid w:val="34E944F6"/>
    <w:rsid w:val="34E94AA0"/>
    <w:rsid w:val="34F06469"/>
    <w:rsid w:val="35042307"/>
    <w:rsid w:val="35072EAD"/>
    <w:rsid w:val="350960B1"/>
    <w:rsid w:val="35150114"/>
    <w:rsid w:val="352011B6"/>
    <w:rsid w:val="35217336"/>
    <w:rsid w:val="35290A77"/>
    <w:rsid w:val="352A0B4B"/>
    <w:rsid w:val="352F7D57"/>
    <w:rsid w:val="35356F10"/>
    <w:rsid w:val="354840CB"/>
    <w:rsid w:val="355C013C"/>
    <w:rsid w:val="3565420B"/>
    <w:rsid w:val="356A5BBA"/>
    <w:rsid w:val="356A601B"/>
    <w:rsid w:val="35825C91"/>
    <w:rsid w:val="3583595D"/>
    <w:rsid w:val="35841013"/>
    <w:rsid w:val="358B79C9"/>
    <w:rsid w:val="35934427"/>
    <w:rsid w:val="359A00B9"/>
    <w:rsid w:val="35C72C49"/>
    <w:rsid w:val="35F853BB"/>
    <w:rsid w:val="35FB1676"/>
    <w:rsid w:val="361526DE"/>
    <w:rsid w:val="36225127"/>
    <w:rsid w:val="36237E20"/>
    <w:rsid w:val="36254E9D"/>
    <w:rsid w:val="362551E1"/>
    <w:rsid w:val="36286678"/>
    <w:rsid w:val="363803C7"/>
    <w:rsid w:val="36393E81"/>
    <w:rsid w:val="367620D2"/>
    <w:rsid w:val="3689139F"/>
    <w:rsid w:val="369608CE"/>
    <w:rsid w:val="369B2954"/>
    <w:rsid w:val="36A30297"/>
    <w:rsid w:val="36C1037B"/>
    <w:rsid w:val="36D067A6"/>
    <w:rsid w:val="36D347F2"/>
    <w:rsid w:val="36D4011D"/>
    <w:rsid w:val="36E865A3"/>
    <w:rsid w:val="36EC753C"/>
    <w:rsid w:val="37070D11"/>
    <w:rsid w:val="37201F64"/>
    <w:rsid w:val="373435D1"/>
    <w:rsid w:val="373F53DD"/>
    <w:rsid w:val="374C04C6"/>
    <w:rsid w:val="375948AC"/>
    <w:rsid w:val="376B28D6"/>
    <w:rsid w:val="376C0D7B"/>
    <w:rsid w:val="376C5D00"/>
    <w:rsid w:val="376E276D"/>
    <w:rsid w:val="37A04E93"/>
    <w:rsid w:val="37A30ED5"/>
    <w:rsid w:val="37D22ED3"/>
    <w:rsid w:val="37EA0A17"/>
    <w:rsid w:val="380A7603"/>
    <w:rsid w:val="380B0BB2"/>
    <w:rsid w:val="380D32F1"/>
    <w:rsid w:val="380D5D0D"/>
    <w:rsid w:val="382F2C1E"/>
    <w:rsid w:val="3871463E"/>
    <w:rsid w:val="38716CD9"/>
    <w:rsid w:val="38801C6C"/>
    <w:rsid w:val="38851608"/>
    <w:rsid w:val="389F2071"/>
    <w:rsid w:val="38A45712"/>
    <w:rsid w:val="38A47DD9"/>
    <w:rsid w:val="38B04451"/>
    <w:rsid w:val="38CC35B4"/>
    <w:rsid w:val="38D10166"/>
    <w:rsid w:val="39207FD2"/>
    <w:rsid w:val="392E645D"/>
    <w:rsid w:val="3933207C"/>
    <w:rsid w:val="39341BE2"/>
    <w:rsid w:val="393947EE"/>
    <w:rsid w:val="394B37F2"/>
    <w:rsid w:val="39532C2F"/>
    <w:rsid w:val="39756BD2"/>
    <w:rsid w:val="39985F30"/>
    <w:rsid w:val="39D3500A"/>
    <w:rsid w:val="39D620EE"/>
    <w:rsid w:val="39D96419"/>
    <w:rsid w:val="39E207E5"/>
    <w:rsid w:val="39E55169"/>
    <w:rsid w:val="39E84553"/>
    <w:rsid w:val="39F4018B"/>
    <w:rsid w:val="39F72E22"/>
    <w:rsid w:val="3A094E52"/>
    <w:rsid w:val="3A174971"/>
    <w:rsid w:val="3A273045"/>
    <w:rsid w:val="3A351385"/>
    <w:rsid w:val="3A3E4729"/>
    <w:rsid w:val="3A4D68B5"/>
    <w:rsid w:val="3A675D63"/>
    <w:rsid w:val="3A8C1EFF"/>
    <w:rsid w:val="3A9F7948"/>
    <w:rsid w:val="3AA02CE4"/>
    <w:rsid w:val="3AA628ED"/>
    <w:rsid w:val="3AAC6356"/>
    <w:rsid w:val="3AAF0D0B"/>
    <w:rsid w:val="3AB23C38"/>
    <w:rsid w:val="3AB704E3"/>
    <w:rsid w:val="3ABA4B72"/>
    <w:rsid w:val="3AC24451"/>
    <w:rsid w:val="3AC76FD5"/>
    <w:rsid w:val="3ACE1617"/>
    <w:rsid w:val="3AD31906"/>
    <w:rsid w:val="3AD8364A"/>
    <w:rsid w:val="3AD969F8"/>
    <w:rsid w:val="3AE960B8"/>
    <w:rsid w:val="3AFD1BC4"/>
    <w:rsid w:val="3B011CBF"/>
    <w:rsid w:val="3B0911E6"/>
    <w:rsid w:val="3B1043F4"/>
    <w:rsid w:val="3B266598"/>
    <w:rsid w:val="3B47510C"/>
    <w:rsid w:val="3B4C622A"/>
    <w:rsid w:val="3B5F7913"/>
    <w:rsid w:val="3B605478"/>
    <w:rsid w:val="3B634927"/>
    <w:rsid w:val="3B7F36AC"/>
    <w:rsid w:val="3B822235"/>
    <w:rsid w:val="3B861D2E"/>
    <w:rsid w:val="3B937808"/>
    <w:rsid w:val="3BA65BED"/>
    <w:rsid w:val="3BAA1F2B"/>
    <w:rsid w:val="3BAA2896"/>
    <w:rsid w:val="3BC25680"/>
    <w:rsid w:val="3BD653F5"/>
    <w:rsid w:val="3BE16ECF"/>
    <w:rsid w:val="3BED0FCA"/>
    <w:rsid w:val="3BF14D67"/>
    <w:rsid w:val="3C211965"/>
    <w:rsid w:val="3C226C56"/>
    <w:rsid w:val="3C4B0ED5"/>
    <w:rsid w:val="3C543787"/>
    <w:rsid w:val="3C6C2EB8"/>
    <w:rsid w:val="3CA91418"/>
    <w:rsid w:val="3CAD34C9"/>
    <w:rsid w:val="3CAE2FB6"/>
    <w:rsid w:val="3CBC1B56"/>
    <w:rsid w:val="3CBD75BF"/>
    <w:rsid w:val="3CC33BCC"/>
    <w:rsid w:val="3CD641A1"/>
    <w:rsid w:val="3CE10149"/>
    <w:rsid w:val="3CE2490A"/>
    <w:rsid w:val="3CEA648A"/>
    <w:rsid w:val="3D093637"/>
    <w:rsid w:val="3D1502D9"/>
    <w:rsid w:val="3D2D0EEC"/>
    <w:rsid w:val="3D30516B"/>
    <w:rsid w:val="3D333D52"/>
    <w:rsid w:val="3D390582"/>
    <w:rsid w:val="3D3F406A"/>
    <w:rsid w:val="3D555673"/>
    <w:rsid w:val="3D5657CC"/>
    <w:rsid w:val="3D5D2E26"/>
    <w:rsid w:val="3D635B43"/>
    <w:rsid w:val="3D876DDA"/>
    <w:rsid w:val="3D8C35CB"/>
    <w:rsid w:val="3D8E5ECA"/>
    <w:rsid w:val="3DA6750A"/>
    <w:rsid w:val="3DB21166"/>
    <w:rsid w:val="3DB52FFB"/>
    <w:rsid w:val="3DB932B8"/>
    <w:rsid w:val="3DC65BE7"/>
    <w:rsid w:val="3DCE5EF9"/>
    <w:rsid w:val="3DDF3C84"/>
    <w:rsid w:val="3DF17D30"/>
    <w:rsid w:val="3DF55B8D"/>
    <w:rsid w:val="3DF740D2"/>
    <w:rsid w:val="3E2942BE"/>
    <w:rsid w:val="3E300439"/>
    <w:rsid w:val="3E320B89"/>
    <w:rsid w:val="3E3906BC"/>
    <w:rsid w:val="3E462526"/>
    <w:rsid w:val="3E5648B2"/>
    <w:rsid w:val="3E5709F3"/>
    <w:rsid w:val="3E667CEF"/>
    <w:rsid w:val="3E684241"/>
    <w:rsid w:val="3E75521D"/>
    <w:rsid w:val="3E83245B"/>
    <w:rsid w:val="3E8412E9"/>
    <w:rsid w:val="3E9328AF"/>
    <w:rsid w:val="3EBC27E6"/>
    <w:rsid w:val="3EDC10D0"/>
    <w:rsid w:val="3EE10368"/>
    <w:rsid w:val="3EEE2BBE"/>
    <w:rsid w:val="3EF13BC7"/>
    <w:rsid w:val="3EF53D00"/>
    <w:rsid w:val="3EF94FFC"/>
    <w:rsid w:val="3F0C4369"/>
    <w:rsid w:val="3F2F53AA"/>
    <w:rsid w:val="3F41031D"/>
    <w:rsid w:val="3F493F5C"/>
    <w:rsid w:val="3F536673"/>
    <w:rsid w:val="3F5A79F3"/>
    <w:rsid w:val="3F5D2E4D"/>
    <w:rsid w:val="3F5F1F5C"/>
    <w:rsid w:val="3F6A5EE0"/>
    <w:rsid w:val="3F8A14CB"/>
    <w:rsid w:val="3F9120E3"/>
    <w:rsid w:val="3F9E0865"/>
    <w:rsid w:val="3FA5009E"/>
    <w:rsid w:val="3FA97081"/>
    <w:rsid w:val="3FAA10AC"/>
    <w:rsid w:val="3FC94921"/>
    <w:rsid w:val="3FD02AA6"/>
    <w:rsid w:val="3FD37207"/>
    <w:rsid w:val="3FD50D82"/>
    <w:rsid w:val="3FDB1475"/>
    <w:rsid w:val="3FDE5AD9"/>
    <w:rsid w:val="3FE56AF2"/>
    <w:rsid w:val="3FF32979"/>
    <w:rsid w:val="3FFF678B"/>
    <w:rsid w:val="40007A90"/>
    <w:rsid w:val="401C0DE9"/>
    <w:rsid w:val="401C7BD5"/>
    <w:rsid w:val="402417C8"/>
    <w:rsid w:val="40372073"/>
    <w:rsid w:val="403D4A3A"/>
    <w:rsid w:val="404A114E"/>
    <w:rsid w:val="404F52A8"/>
    <w:rsid w:val="40790653"/>
    <w:rsid w:val="408908EE"/>
    <w:rsid w:val="408A75FC"/>
    <w:rsid w:val="40AA46A6"/>
    <w:rsid w:val="40B6211F"/>
    <w:rsid w:val="40C2573C"/>
    <w:rsid w:val="40D01BF9"/>
    <w:rsid w:val="40D34024"/>
    <w:rsid w:val="40D43BA0"/>
    <w:rsid w:val="40D62F6B"/>
    <w:rsid w:val="40E241CE"/>
    <w:rsid w:val="40EA78D7"/>
    <w:rsid w:val="40EC35D0"/>
    <w:rsid w:val="40EC510F"/>
    <w:rsid w:val="40EF5D43"/>
    <w:rsid w:val="40FD2E2B"/>
    <w:rsid w:val="412912D7"/>
    <w:rsid w:val="41366B89"/>
    <w:rsid w:val="413C5988"/>
    <w:rsid w:val="41643D6B"/>
    <w:rsid w:val="41771599"/>
    <w:rsid w:val="41824790"/>
    <w:rsid w:val="41875B96"/>
    <w:rsid w:val="418E52EE"/>
    <w:rsid w:val="41A04E11"/>
    <w:rsid w:val="41B76BF9"/>
    <w:rsid w:val="41DB0F0D"/>
    <w:rsid w:val="41F029FA"/>
    <w:rsid w:val="41F87BCB"/>
    <w:rsid w:val="420558C2"/>
    <w:rsid w:val="42057B28"/>
    <w:rsid w:val="420874B4"/>
    <w:rsid w:val="421052B2"/>
    <w:rsid w:val="42190CC2"/>
    <w:rsid w:val="422F36E3"/>
    <w:rsid w:val="42407C97"/>
    <w:rsid w:val="42491125"/>
    <w:rsid w:val="42625F75"/>
    <w:rsid w:val="427A44C2"/>
    <w:rsid w:val="42880654"/>
    <w:rsid w:val="428D14EF"/>
    <w:rsid w:val="4296187E"/>
    <w:rsid w:val="429A4C2D"/>
    <w:rsid w:val="429B2F25"/>
    <w:rsid w:val="429B4AA7"/>
    <w:rsid w:val="42A65AF0"/>
    <w:rsid w:val="42AD56C6"/>
    <w:rsid w:val="42EF31B0"/>
    <w:rsid w:val="42FF71DC"/>
    <w:rsid w:val="42FF7548"/>
    <w:rsid w:val="43082441"/>
    <w:rsid w:val="432B1FC3"/>
    <w:rsid w:val="43346B04"/>
    <w:rsid w:val="433D6326"/>
    <w:rsid w:val="434315F5"/>
    <w:rsid w:val="434D155D"/>
    <w:rsid w:val="43565589"/>
    <w:rsid w:val="435E53D9"/>
    <w:rsid w:val="43687A72"/>
    <w:rsid w:val="4371130B"/>
    <w:rsid w:val="437A0D2C"/>
    <w:rsid w:val="438607EE"/>
    <w:rsid w:val="438F69E7"/>
    <w:rsid w:val="43911F91"/>
    <w:rsid w:val="4394491A"/>
    <w:rsid w:val="43997A97"/>
    <w:rsid w:val="43A16902"/>
    <w:rsid w:val="43BD5DE5"/>
    <w:rsid w:val="43CC2FC9"/>
    <w:rsid w:val="43D65E39"/>
    <w:rsid w:val="43D6606E"/>
    <w:rsid w:val="43E63B73"/>
    <w:rsid w:val="43FE3B45"/>
    <w:rsid w:val="441111D7"/>
    <w:rsid w:val="44220155"/>
    <w:rsid w:val="442D64E6"/>
    <w:rsid w:val="443B3A4C"/>
    <w:rsid w:val="443C6B00"/>
    <w:rsid w:val="444B0AC4"/>
    <w:rsid w:val="444C64B0"/>
    <w:rsid w:val="444D54BA"/>
    <w:rsid w:val="44742FDB"/>
    <w:rsid w:val="447636BF"/>
    <w:rsid w:val="44951997"/>
    <w:rsid w:val="449D508C"/>
    <w:rsid w:val="44B15AF7"/>
    <w:rsid w:val="44B36E39"/>
    <w:rsid w:val="44DC2E06"/>
    <w:rsid w:val="44EC7013"/>
    <w:rsid w:val="44F02519"/>
    <w:rsid w:val="44FB3AE3"/>
    <w:rsid w:val="44FD6D5B"/>
    <w:rsid w:val="44FF3C64"/>
    <w:rsid w:val="45061393"/>
    <w:rsid w:val="45427AA4"/>
    <w:rsid w:val="45515DC5"/>
    <w:rsid w:val="455454A2"/>
    <w:rsid w:val="45564CA5"/>
    <w:rsid w:val="455B6233"/>
    <w:rsid w:val="456A6A48"/>
    <w:rsid w:val="457C3D14"/>
    <w:rsid w:val="45865E2C"/>
    <w:rsid w:val="45911A43"/>
    <w:rsid w:val="45A16423"/>
    <w:rsid w:val="45A24E61"/>
    <w:rsid w:val="45A9067C"/>
    <w:rsid w:val="45B457B5"/>
    <w:rsid w:val="45C63F33"/>
    <w:rsid w:val="45C849A3"/>
    <w:rsid w:val="45DA1DB7"/>
    <w:rsid w:val="45DE2657"/>
    <w:rsid w:val="45E961FB"/>
    <w:rsid w:val="45F10EC5"/>
    <w:rsid w:val="460F4303"/>
    <w:rsid w:val="4619280E"/>
    <w:rsid w:val="462E7E70"/>
    <w:rsid w:val="463144E8"/>
    <w:rsid w:val="46335004"/>
    <w:rsid w:val="46424079"/>
    <w:rsid w:val="46477E5A"/>
    <w:rsid w:val="466317E7"/>
    <w:rsid w:val="466360B5"/>
    <w:rsid w:val="466E3CCD"/>
    <w:rsid w:val="4676381B"/>
    <w:rsid w:val="467744FD"/>
    <w:rsid w:val="46924728"/>
    <w:rsid w:val="46A746F1"/>
    <w:rsid w:val="46A9467B"/>
    <w:rsid w:val="46A9603F"/>
    <w:rsid w:val="46AF30F0"/>
    <w:rsid w:val="46D046FE"/>
    <w:rsid w:val="46D808B3"/>
    <w:rsid w:val="46E12276"/>
    <w:rsid w:val="46F03580"/>
    <w:rsid w:val="46F51A7F"/>
    <w:rsid w:val="47140188"/>
    <w:rsid w:val="4714637D"/>
    <w:rsid w:val="4718310F"/>
    <w:rsid w:val="472033C0"/>
    <w:rsid w:val="47280D0D"/>
    <w:rsid w:val="47424AC3"/>
    <w:rsid w:val="47575BFF"/>
    <w:rsid w:val="47581629"/>
    <w:rsid w:val="476B7898"/>
    <w:rsid w:val="47700B34"/>
    <w:rsid w:val="477A6B40"/>
    <w:rsid w:val="478C55BE"/>
    <w:rsid w:val="47974276"/>
    <w:rsid w:val="479C078C"/>
    <w:rsid w:val="47B32E9C"/>
    <w:rsid w:val="47B922BA"/>
    <w:rsid w:val="47DC1505"/>
    <w:rsid w:val="47DE6C76"/>
    <w:rsid w:val="47ED7291"/>
    <w:rsid w:val="47F46C1C"/>
    <w:rsid w:val="48072039"/>
    <w:rsid w:val="480B19F6"/>
    <w:rsid w:val="480E7E09"/>
    <w:rsid w:val="481D675B"/>
    <w:rsid w:val="48212AE9"/>
    <w:rsid w:val="48281A14"/>
    <w:rsid w:val="484D05AF"/>
    <w:rsid w:val="486C1D5E"/>
    <w:rsid w:val="486C4CE7"/>
    <w:rsid w:val="487216E8"/>
    <w:rsid w:val="487A2378"/>
    <w:rsid w:val="489713C3"/>
    <w:rsid w:val="48A262B1"/>
    <w:rsid w:val="48A61EC2"/>
    <w:rsid w:val="48A9755E"/>
    <w:rsid w:val="48B843DB"/>
    <w:rsid w:val="48B956E0"/>
    <w:rsid w:val="48BA3284"/>
    <w:rsid w:val="48CB1CC0"/>
    <w:rsid w:val="48CE326A"/>
    <w:rsid w:val="48E66D59"/>
    <w:rsid w:val="49013C23"/>
    <w:rsid w:val="490A52ED"/>
    <w:rsid w:val="490C3583"/>
    <w:rsid w:val="49163580"/>
    <w:rsid w:val="491E6E1E"/>
    <w:rsid w:val="491F7F64"/>
    <w:rsid w:val="492A1BD4"/>
    <w:rsid w:val="4945621D"/>
    <w:rsid w:val="49582843"/>
    <w:rsid w:val="49733467"/>
    <w:rsid w:val="497A4499"/>
    <w:rsid w:val="498C1B4B"/>
    <w:rsid w:val="49A418F2"/>
    <w:rsid w:val="49AD5BED"/>
    <w:rsid w:val="49BE170B"/>
    <w:rsid w:val="49C8100A"/>
    <w:rsid w:val="49E22908"/>
    <w:rsid w:val="49FD4166"/>
    <w:rsid w:val="49FF2037"/>
    <w:rsid w:val="4A0A7F62"/>
    <w:rsid w:val="4A1D00AC"/>
    <w:rsid w:val="4A270A04"/>
    <w:rsid w:val="4A36625B"/>
    <w:rsid w:val="4A414188"/>
    <w:rsid w:val="4A47591B"/>
    <w:rsid w:val="4A4C4C82"/>
    <w:rsid w:val="4A6F608D"/>
    <w:rsid w:val="4A767F31"/>
    <w:rsid w:val="4A826ECA"/>
    <w:rsid w:val="4A885CE1"/>
    <w:rsid w:val="4A9452E5"/>
    <w:rsid w:val="4A9F2D3A"/>
    <w:rsid w:val="4ABA66FB"/>
    <w:rsid w:val="4ABE4F66"/>
    <w:rsid w:val="4ABF0894"/>
    <w:rsid w:val="4ACC37A5"/>
    <w:rsid w:val="4ADA0BDD"/>
    <w:rsid w:val="4ADB4E28"/>
    <w:rsid w:val="4ADC40E1"/>
    <w:rsid w:val="4ADF16B3"/>
    <w:rsid w:val="4AE414ED"/>
    <w:rsid w:val="4AF16114"/>
    <w:rsid w:val="4AF75899"/>
    <w:rsid w:val="4B016AF9"/>
    <w:rsid w:val="4B170E1E"/>
    <w:rsid w:val="4B1A46C6"/>
    <w:rsid w:val="4B2517BD"/>
    <w:rsid w:val="4B333D7A"/>
    <w:rsid w:val="4B3422A0"/>
    <w:rsid w:val="4B423A85"/>
    <w:rsid w:val="4B431506"/>
    <w:rsid w:val="4B4D3A8C"/>
    <w:rsid w:val="4B515A7A"/>
    <w:rsid w:val="4B5523AC"/>
    <w:rsid w:val="4B693CDC"/>
    <w:rsid w:val="4B6F57B6"/>
    <w:rsid w:val="4B925402"/>
    <w:rsid w:val="4B9422CC"/>
    <w:rsid w:val="4B9E0960"/>
    <w:rsid w:val="4BB31E0A"/>
    <w:rsid w:val="4BC60804"/>
    <w:rsid w:val="4BC74E08"/>
    <w:rsid w:val="4BCF4885"/>
    <w:rsid w:val="4BD07997"/>
    <w:rsid w:val="4BDF3E16"/>
    <w:rsid w:val="4BE1398E"/>
    <w:rsid w:val="4BF722AF"/>
    <w:rsid w:val="4BFD7A3B"/>
    <w:rsid w:val="4C1003D8"/>
    <w:rsid w:val="4C131BDF"/>
    <w:rsid w:val="4C1705E5"/>
    <w:rsid w:val="4C203473"/>
    <w:rsid w:val="4C2F2351"/>
    <w:rsid w:val="4C352DA8"/>
    <w:rsid w:val="4C366477"/>
    <w:rsid w:val="4C381F65"/>
    <w:rsid w:val="4C6E6BF7"/>
    <w:rsid w:val="4C6F66E5"/>
    <w:rsid w:val="4C786851"/>
    <w:rsid w:val="4C942881"/>
    <w:rsid w:val="4CAF266F"/>
    <w:rsid w:val="4CB229E2"/>
    <w:rsid w:val="4CC13ECD"/>
    <w:rsid w:val="4CC2528B"/>
    <w:rsid w:val="4CD020F9"/>
    <w:rsid w:val="4D0B17EF"/>
    <w:rsid w:val="4D0E4802"/>
    <w:rsid w:val="4D2F37DC"/>
    <w:rsid w:val="4D2F7723"/>
    <w:rsid w:val="4D406BD1"/>
    <w:rsid w:val="4D5047B5"/>
    <w:rsid w:val="4D576F61"/>
    <w:rsid w:val="4D605A45"/>
    <w:rsid w:val="4D76573F"/>
    <w:rsid w:val="4D7E6C33"/>
    <w:rsid w:val="4D831E51"/>
    <w:rsid w:val="4D942472"/>
    <w:rsid w:val="4DA44E4F"/>
    <w:rsid w:val="4DAA4C62"/>
    <w:rsid w:val="4DAD0C4C"/>
    <w:rsid w:val="4DAD5FAE"/>
    <w:rsid w:val="4DBB503D"/>
    <w:rsid w:val="4DC1083E"/>
    <w:rsid w:val="4DCE74AD"/>
    <w:rsid w:val="4DF521AC"/>
    <w:rsid w:val="4E0A2800"/>
    <w:rsid w:val="4E0D58C8"/>
    <w:rsid w:val="4E154828"/>
    <w:rsid w:val="4E222649"/>
    <w:rsid w:val="4E244D2D"/>
    <w:rsid w:val="4E5079C5"/>
    <w:rsid w:val="4E611424"/>
    <w:rsid w:val="4E623BD3"/>
    <w:rsid w:val="4E7906E7"/>
    <w:rsid w:val="4E837C45"/>
    <w:rsid w:val="4E993495"/>
    <w:rsid w:val="4EA30D9D"/>
    <w:rsid w:val="4EA31AE4"/>
    <w:rsid w:val="4EA57B2E"/>
    <w:rsid w:val="4EB2058C"/>
    <w:rsid w:val="4EB60C48"/>
    <w:rsid w:val="4EB93137"/>
    <w:rsid w:val="4EDE147E"/>
    <w:rsid w:val="4EEA3967"/>
    <w:rsid w:val="4EEF1B44"/>
    <w:rsid w:val="4F0A27C3"/>
    <w:rsid w:val="4F0E2841"/>
    <w:rsid w:val="4F0F005F"/>
    <w:rsid w:val="4F165D52"/>
    <w:rsid w:val="4F190BD2"/>
    <w:rsid w:val="4F1D369F"/>
    <w:rsid w:val="4F213A90"/>
    <w:rsid w:val="4F290247"/>
    <w:rsid w:val="4F323CD2"/>
    <w:rsid w:val="4F332C0A"/>
    <w:rsid w:val="4F433DC8"/>
    <w:rsid w:val="4F4B51A5"/>
    <w:rsid w:val="4F545D86"/>
    <w:rsid w:val="4F896D46"/>
    <w:rsid w:val="4F974D24"/>
    <w:rsid w:val="4FA14EEC"/>
    <w:rsid w:val="4FA84227"/>
    <w:rsid w:val="4FC231DA"/>
    <w:rsid w:val="4FC4093D"/>
    <w:rsid w:val="4FE223EE"/>
    <w:rsid w:val="4FE3097A"/>
    <w:rsid w:val="4FE44E23"/>
    <w:rsid w:val="4FFD3A77"/>
    <w:rsid w:val="4FFD60F8"/>
    <w:rsid w:val="501F548E"/>
    <w:rsid w:val="501F59A7"/>
    <w:rsid w:val="503642D7"/>
    <w:rsid w:val="503D3F59"/>
    <w:rsid w:val="504C7CCA"/>
    <w:rsid w:val="50650862"/>
    <w:rsid w:val="50681179"/>
    <w:rsid w:val="50812723"/>
    <w:rsid w:val="50864F3F"/>
    <w:rsid w:val="5095674A"/>
    <w:rsid w:val="50A01EE7"/>
    <w:rsid w:val="50A070FC"/>
    <w:rsid w:val="50A6221C"/>
    <w:rsid w:val="50AC4C20"/>
    <w:rsid w:val="50B61B8B"/>
    <w:rsid w:val="50C13C5F"/>
    <w:rsid w:val="50C16C1C"/>
    <w:rsid w:val="50C577D9"/>
    <w:rsid w:val="50DD17B8"/>
    <w:rsid w:val="50E00158"/>
    <w:rsid w:val="50E8434B"/>
    <w:rsid w:val="50F0291C"/>
    <w:rsid w:val="50F5073D"/>
    <w:rsid w:val="51183711"/>
    <w:rsid w:val="51183F80"/>
    <w:rsid w:val="51286AE9"/>
    <w:rsid w:val="512B131B"/>
    <w:rsid w:val="514946EA"/>
    <w:rsid w:val="515B2086"/>
    <w:rsid w:val="516C5BB7"/>
    <w:rsid w:val="51881606"/>
    <w:rsid w:val="518A5153"/>
    <w:rsid w:val="518E2820"/>
    <w:rsid w:val="51AC5137"/>
    <w:rsid w:val="51B4195C"/>
    <w:rsid w:val="51B463DB"/>
    <w:rsid w:val="51C24E31"/>
    <w:rsid w:val="51C31254"/>
    <w:rsid w:val="51C979DD"/>
    <w:rsid w:val="51D20DCB"/>
    <w:rsid w:val="520A22AE"/>
    <w:rsid w:val="521974CD"/>
    <w:rsid w:val="522143CD"/>
    <w:rsid w:val="52247A0F"/>
    <w:rsid w:val="52385792"/>
    <w:rsid w:val="523D42DD"/>
    <w:rsid w:val="523F6AFF"/>
    <w:rsid w:val="524B2DC8"/>
    <w:rsid w:val="524F31BF"/>
    <w:rsid w:val="52514A0D"/>
    <w:rsid w:val="5273265C"/>
    <w:rsid w:val="527B5D61"/>
    <w:rsid w:val="52853336"/>
    <w:rsid w:val="52881D50"/>
    <w:rsid w:val="52991222"/>
    <w:rsid w:val="529B3EC4"/>
    <w:rsid w:val="529C6295"/>
    <w:rsid w:val="529C7876"/>
    <w:rsid w:val="529D3D17"/>
    <w:rsid w:val="52A26887"/>
    <w:rsid w:val="52BC72D9"/>
    <w:rsid w:val="52DB19FD"/>
    <w:rsid w:val="52EE339D"/>
    <w:rsid w:val="530174D7"/>
    <w:rsid w:val="5306292A"/>
    <w:rsid w:val="530822C8"/>
    <w:rsid w:val="530D1073"/>
    <w:rsid w:val="533E1E81"/>
    <w:rsid w:val="53445C3B"/>
    <w:rsid w:val="534B7333"/>
    <w:rsid w:val="534E2630"/>
    <w:rsid w:val="534F15BC"/>
    <w:rsid w:val="536F3F83"/>
    <w:rsid w:val="53703E8D"/>
    <w:rsid w:val="53707DDE"/>
    <w:rsid w:val="537E0058"/>
    <w:rsid w:val="53943296"/>
    <w:rsid w:val="53950AA6"/>
    <w:rsid w:val="53B2385F"/>
    <w:rsid w:val="53B434DF"/>
    <w:rsid w:val="53C502CE"/>
    <w:rsid w:val="53D02F55"/>
    <w:rsid w:val="53E12D9E"/>
    <w:rsid w:val="53E64B1C"/>
    <w:rsid w:val="53E8652B"/>
    <w:rsid w:val="53EB486A"/>
    <w:rsid w:val="53EE23BF"/>
    <w:rsid w:val="53EE67E9"/>
    <w:rsid w:val="53FD1C03"/>
    <w:rsid w:val="54005B5D"/>
    <w:rsid w:val="54020BC2"/>
    <w:rsid w:val="540310FA"/>
    <w:rsid w:val="54037045"/>
    <w:rsid w:val="540817F6"/>
    <w:rsid w:val="54163583"/>
    <w:rsid w:val="541F77E0"/>
    <w:rsid w:val="54270E2A"/>
    <w:rsid w:val="543E515D"/>
    <w:rsid w:val="543F413B"/>
    <w:rsid w:val="5443534C"/>
    <w:rsid w:val="544B0D54"/>
    <w:rsid w:val="544F3B03"/>
    <w:rsid w:val="545114AC"/>
    <w:rsid w:val="54591CDE"/>
    <w:rsid w:val="545952F2"/>
    <w:rsid w:val="54625354"/>
    <w:rsid w:val="5469558C"/>
    <w:rsid w:val="54951F53"/>
    <w:rsid w:val="54984A43"/>
    <w:rsid w:val="54B61E08"/>
    <w:rsid w:val="54C557E7"/>
    <w:rsid w:val="54C65EC0"/>
    <w:rsid w:val="54D43100"/>
    <w:rsid w:val="54EA78DC"/>
    <w:rsid w:val="54F80317"/>
    <w:rsid w:val="552760F6"/>
    <w:rsid w:val="552865AE"/>
    <w:rsid w:val="552A09F4"/>
    <w:rsid w:val="5532296D"/>
    <w:rsid w:val="55452810"/>
    <w:rsid w:val="555154EE"/>
    <w:rsid w:val="557E1851"/>
    <w:rsid w:val="5584155C"/>
    <w:rsid w:val="558F4A1E"/>
    <w:rsid w:val="55942252"/>
    <w:rsid w:val="55987FBD"/>
    <w:rsid w:val="55A57512"/>
    <w:rsid w:val="55B41C64"/>
    <w:rsid w:val="55D447DE"/>
    <w:rsid w:val="55E34DF9"/>
    <w:rsid w:val="55EC2897"/>
    <w:rsid w:val="55F0187C"/>
    <w:rsid w:val="55FA242D"/>
    <w:rsid w:val="55FD3626"/>
    <w:rsid w:val="56160ACB"/>
    <w:rsid w:val="5630640C"/>
    <w:rsid w:val="564B32E4"/>
    <w:rsid w:val="5652511E"/>
    <w:rsid w:val="5652573E"/>
    <w:rsid w:val="56543A0D"/>
    <w:rsid w:val="5658232F"/>
    <w:rsid w:val="56686EA1"/>
    <w:rsid w:val="566B50BC"/>
    <w:rsid w:val="56754367"/>
    <w:rsid w:val="56860213"/>
    <w:rsid w:val="569E1AC8"/>
    <w:rsid w:val="56A4132F"/>
    <w:rsid w:val="56AC279F"/>
    <w:rsid w:val="56AF2E6F"/>
    <w:rsid w:val="56BE671B"/>
    <w:rsid w:val="56C36665"/>
    <w:rsid w:val="56D51F0A"/>
    <w:rsid w:val="56DF0963"/>
    <w:rsid w:val="56E00193"/>
    <w:rsid w:val="56E2575C"/>
    <w:rsid w:val="56F37D3E"/>
    <w:rsid w:val="56F473C0"/>
    <w:rsid w:val="56FD3D8C"/>
    <w:rsid w:val="57065F83"/>
    <w:rsid w:val="57097BE4"/>
    <w:rsid w:val="570B6550"/>
    <w:rsid w:val="570E1847"/>
    <w:rsid w:val="57196157"/>
    <w:rsid w:val="571E12FD"/>
    <w:rsid w:val="573434A1"/>
    <w:rsid w:val="57484C26"/>
    <w:rsid w:val="5758628A"/>
    <w:rsid w:val="57745BB6"/>
    <w:rsid w:val="57782C90"/>
    <w:rsid w:val="57855787"/>
    <w:rsid w:val="578A1BF3"/>
    <w:rsid w:val="57B02739"/>
    <w:rsid w:val="57B439EF"/>
    <w:rsid w:val="57BD6C04"/>
    <w:rsid w:val="57C03085"/>
    <w:rsid w:val="57C51573"/>
    <w:rsid w:val="57D6036B"/>
    <w:rsid w:val="57DE28CC"/>
    <w:rsid w:val="57DF44D7"/>
    <w:rsid w:val="57FF606E"/>
    <w:rsid w:val="580032F4"/>
    <w:rsid w:val="580716CC"/>
    <w:rsid w:val="58220A26"/>
    <w:rsid w:val="58381DBD"/>
    <w:rsid w:val="58382405"/>
    <w:rsid w:val="58394C38"/>
    <w:rsid w:val="58423CCA"/>
    <w:rsid w:val="584B7C06"/>
    <w:rsid w:val="58510290"/>
    <w:rsid w:val="58553578"/>
    <w:rsid w:val="58553705"/>
    <w:rsid w:val="5855370B"/>
    <w:rsid w:val="58570D1A"/>
    <w:rsid w:val="58590F71"/>
    <w:rsid w:val="586C6A21"/>
    <w:rsid w:val="58A80E04"/>
    <w:rsid w:val="58B31DD9"/>
    <w:rsid w:val="58B91125"/>
    <w:rsid w:val="58BE2FA8"/>
    <w:rsid w:val="58C52932"/>
    <w:rsid w:val="58C64CF3"/>
    <w:rsid w:val="58CB3B78"/>
    <w:rsid w:val="58D21B64"/>
    <w:rsid w:val="58DE5B5B"/>
    <w:rsid w:val="58EC6F6F"/>
    <w:rsid w:val="590157F8"/>
    <w:rsid w:val="590D2328"/>
    <w:rsid w:val="590F51DD"/>
    <w:rsid w:val="591E2294"/>
    <w:rsid w:val="59232C0B"/>
    <w:rsid w:val="593A62F9"/>
    <w:rsid w:val="594B4FD2"/>
    <w:rsid w:val="594D06B7"/>
    <w:rsid w:val="598A5B73"/>
    <w:rsid w:val="598D03EC"/>
    <w:rsid w:val="598D6E21"/>
    <w:rsid w:val="598D7696"/>
    <w:rsid w:val="599C0038"/>
    <w:rsid w:val="599F6487"/>
    <w:rsid w:val="59B377F3"/>
    <w:rsid w:val="59B6573E"/>
    <w:rsid w:val="59C43D4D"/>
    <w:rsid w:val="59C83A39"/>
    <w:rsid w:val="59FB18DA"/>
    <w:rsid w:val="5A160FDB"/>
    <w:rsid w:val="5A261DCD"/>
    <w:rsid w:val="5A361544"/>
    <w:rsid w:val="5A3F108A"/>
    <w:rsid w:val="5A5B363C"/>
    <w:rsid w:val="5A6D76C0"/>
    <w:rsid w:val="5A723A0D"/>
    <w:rsid w:val="5A762255"/>
    <w:rsid w:val="5A780FA5"/>
    <w:rsid w:val="5A7D1AF2"/>
    <w:rsid w:val="5A833B0D"/>
    <w:rsid w:val="5A9D621A"/>
    <w:rsid w:val="5AB17106"/>
    <w:rsid w:val="5AC219D6"/>
    <w:rsid w:val="5AC46702"/>
    <w:rsid w:val="5AC94301"/>
    <w:rsid w:val="5ACF40CD"/>
    <w:rsid w:val="5AE67733"/>
    <w:rsid w:val="5AFD3B96"/>
    <w:rsid w:val="5B0C640C"/>
    <w:rsid w:val="5B170C5D"/>
    <w:rsid w:val="5B2D305D"/>
    <w:rsid w:val="5B443E9C"/>
    <w:rsid w:val="5B4C1057"/>
    <w:rsid w:val="5B53327E"/>
    <w:rsid w:val="5B707739"/>
    <w:rsid w:val="5B736D19"/>
    <w:rsid w:val="5B7D7957"/>
    <w:rsid w:val="5B830BC2"/>
    <w:rsid w:val="5B956906"/>
    <w:rsid w:val="5B987E52"/>
    <w:rsid w:val="5BCE4EA4"/>
    <w:rsid w:val="5BD209C4"/>
    <w:rsid w:val="5BD637EC"/>
    <w:rsid w:val="5BDE5A43"/>
    <w:rsid w:val="5BE0323A"/>
    <w:rsid w:val="5C126F83"/>
    <w:rsid w:val="5C1A362B"/>
    <w:rsid w:val="5C1B7F5F"/>
    <w:rsid w:val="5C34166A"/>
    <w:rsid w:val="5C4A36B7"/>
    <w:rsid w:val="5C4E44D4"/>
    <w:rsid w:val="5C5552A6"/>
    <w:rsid w:val="5C7F58F3"/>
    <w:rsid w:val="5C80234E"/>
    <w:rsid w:val="5C893CEC"/>
    <w:rsid w:val="5CC83DC7"/>
    <w:rsid w:val="5CD7479C"/>
    <w:rsid w:val="5CE536CF"/>
    <w:rsid w:val="5CE568F8"/>
    <w:rsid w:val="5CF33064"/>
    <w:rsid w:val="5D013D09"/>
    <w:rsid w:val="5D0576C4"/>
    <w:rsid w:val="5D093166"/>
    <w:rsid w:val="5D203E5D"/>
    <w:rsid w:val="5D230368"/>
    <w:rsid w:val="5D2508DD"/>
    <w:rsid w:val="5D255730"/>
    <w:rsid w:val="5D3742FC"/>
    <w:rsid w:val="5D424AC5"/>
    <w:rsid w:val="5D5667E0"/>
    <w:rsid w:val="5D580881"/>
    <w:rsid w:val="5D60523F"/>
    <w:rsid w:val="5D6261CB"/>
    <w:rsid w:val="5DA13534"/>
    <w:rsid w:val="5DC9382F"/>
    <w:rsid w:val="5DCB56EC"/>
    <w:rsid w:val="5DD14279"/>
    <w:rsid w:val="5DE448D2"/>
    <w:rsid w:val="5DF441FF"/>
    <w:rsid w:val="5E1463C6"/>
    <w:rsid w:val="5E285722"/>
    <w:rsid w:val="5E3B4D31"/>
    <w:rsid w:val="5E3E65D1"/>
    <w:rsid w:val="5E4B7A1D"/>
    <w:rsid w:val="5E4D4830"/>
    <w:rsid w:val="5E4E1644"/>
    <w:rsid w:val="5E50050F"/>
    <w:rsid w:val="5E5D04EF"/>
    <w:rsid w:val="5E68591D"/>
    <w:rsid w:val="5E6F4AE3"/>
    <w:rsid w:val="5E731D18"/>
    <w:rsid w:val="5E736001"/>
    <w:rsid w:val="5E742249"/>
    <w:rsid w:val="5E986D1D"/>
    <w:rsid w:val="5E9E597C"/>
    <w:rsid w:val="5EA31BDB"/>
    <w:rsid w:val="5EA32B64"/>
    <w:rsid w:val="5EA97C8F"/>
    <w:rsid w:val="5EDC5A30"/>
    <w:rsid w:val="5EE11EB8"/>
    <w:rsid w:val="5F0936DE"/>
    <w:rsid w:val="5F171517"/>
    <w:rsid w:val="5F250070"/>
    <w:rsid w:val="5F5B6A83"/>
    <w:rsid w:val="5F62295E"/>
    <w:rsid w:val="5F7B20B7"/>
    <w:rsid w:val="5F7D16C2"/>
    <w:rsid w:val="5F892553"/>
    <w:rsid w:val="5FA55479"/>
    <w:rsid w:val="5FAB77AE"/>
    <w:rsid w:val="5FB301BB"/>
    <w:rsid w:val="5FFA6139"/>
    <w:rsid w:val="5FFB5E88"/>
    <w:rsid w:val="600A6271"/>
    <w:rsid w:val="60357E4D"/>
    <w:rsid w:val="603A596D"/>
    <w:rsid w:val="603A5C1E"/>
    <w:rsid w:val="6046706E"/>
    <w:rsid w:val="60492B3E"/>
    <w:rsid w:val="60565E64"/>
    <w:rsid w:val="605E55CF"/>
    <w:rsid w:val="60747DCE"/>
    <w:rsid w:val="6089047C"/>
    <w:rsid w:val="608D4CE3"/>
    <w:rsid w:val="60A859A2"/>
    <w:rsid w:val="60AB29AA"/>
    <w:rsid w:val="60AC67BD"/>
    <w:rsid w:val="60AE372D"/>
    <w:rsid w:val="60C06489"/>
    <w:rsid w:val="60CE2A0E"/>
    <w:rsid w:val="60FC34AC"/>
    <w:rsid w:val="61204933"/>
    <w:rsid w:val="612354B4"/>
    <w:rsid w:val="61351A56"/>
    <w:rsid w:val="613F62A8"/>
    <w:rsid w:val="61415F87"/>
    <w:rsid w:val="61502F36"/>
    <w:rsid w:val="61526439"/>
    <w:rsid w:val="61561800"/>
    <w:rsid w:val="615A223E"/>
    <w:rsid w:val="615A4676"/>
    <w:rsid w:val="615B47A6"/>
    <w:rsid w:val="616435A6"/>
    <w:rsid w:val="619940E6"/>
    <w:rsid w:val="61A6014E"/>
    <w:rsid w:val="61B3236A"/>
    <w:rsid w:val="61D415F5"/>
    <w:rsid w:val="61D63921"/>
    <w:rsid w:val="61DB724C"/>
    <w:rsid w:val="61EE1B3B"/>
    <w:rsid w:val="61F439C5"/>
    <w:rsid w:val="61F443E9"/>
    <w:rsid w:val="62086520"/>
    <w:rsid w:val="62161F3E"/>
    <w:rsid w:val="62213533"/>
    <w:rsid w:val="62241E8B"/>
    <w:rsid w:val="62270D05"/>
    <w:rsid w:val="62297BF9"/>
    <w:rsid w:val="62461BF2"/>
    <w:rsid w:val="624F5302"/>
    <w:rsid w:val="62607426"/>
    <w:rsid w:val="626C2AFF"/>
    <w:rsid w:val="62762D19"/>
    <w:rsid w:val="62865532"/>
    <w:rsid w:val="62867444"/>
    <w:rsid w:val="629D7EE8"/>
    <w:rsid w:val="62A734E8"/>
    <w:rsid w:val="62AE7A21"/>
    <w:rsid w:val="62C73A65"/>
    <w:rsid w:val="62C7491F"/>
    <w:rsid w:val="62C906B0"/>
    <w:rsid w:val="62CD0ED6"/>
    <w:rsid w:val="62D50998"/>
    <w:rsid w:val="62D8753A"/>
    <w:rsid w:val="62E7507D"/>
    <w:rsid w:val="62F67597"/>
    <w:rsid w:val="630C34D0"/>
    <w:rsid w:val="631E48B7"/>
    <w:rsid w:val="6322080B"/>
    <w:rsid w:val="634F7179"/>
    <w:rsid w:val="635F2C96"/>
    <w:rsid w:val="635F6BBD"/>
    <w:rsid w:val="63785DBF"/>
    <w:rsid w:val="638F7AFC"/>
    <w:rsid w:val="639215D8"/>
    <w:rsid w:val="63A36BE5"/>
    <w:rsid w:val="63C04B8A"/>
    <w:rsid w:val="63D42229"/>
    <w:rsid w:val="63D8474D"/>
    <w:rsid w:val="63DB746A"/>
    <w:rsid w:val="63E5033D"/>
    <w:rsid w:val="63EC46A4"/>
    <w:rsid w:val="63EE162B"/>
    <w:rsid w:val="63F4318A"/>
    <w:rsid w:val="63F75B8A"/>
    <w:rsid w:val="640310C7"/>
    <w:rsid w:val="64155C8D"/>
    <w:rsid w:val="641B0760"/>
    <w:rsid w:val="641E1DE4"/>
    <w:rsid w:val="64203CB4"/>
    <w:rsid w:val="64222857"/>
    <w:rsid w:val="642C6B67"/>
    <w:rsid w:val="64335EB1"/>
    <w:rsid w:val="64433CD0"/>
    <w:rsid w:val="64495F72"/>
    <w:rsid w:val="644B25BC"/>
    <w:rsid w:val="647F6D16"/>
    <w:rsid w:val="6498217B"/>
    <w:rsid w:val="64987FF4"/>
    <w:rsid w:val="64CF10CC"/>
    <w:rsid w:val="64D0513C"/>
    <w:rsid w:val="64D320D2"/>
    <w:rsid w:val="64DE698B"/>
    <w:rsid w:val="64E1370A"/>
    <w:rsid w:val="64EB1866"/>
    <w:rsid w:val="64F702F2"/>
    <w:rsid w:val="651424EE"/>
    <w:rsid w:val="65257BC1"/>
    <w:rsid w:val="65287A29"/>
    <w:rsid w:val="653F56B9"/>
    <w:rsid w:val="65537EF9"/>
    <w:rsid w:val="655E1155"/>
    <w:rsid w:val="655F4773"/>
    <w:rsid w:val="65636455"/>
    <w:rsid w:val="65732FC9"/>
    <w:rsid w:val="65A240BE"/>
    <w:rsid w:val="65A273A9"/>
    <w:rsid w:val="65AE5114"/>
    <w:rsid w:val="65AE59DE"/>
    <w:rsid w:val="65B22C79"/>
    <w:rsid w:val="65B61DD9"/>
    <w:rsid w:val="65BB5075"/>
    <w:rsid w:val="65BC102A"/>
    <w:rsid w:val="65C76D0B"/>
    <w:rsid w:val="65CB5A52"/>
    <w:rsid w:val="65D23BC4"/>
    <w:rsid w:val="660B76A8"/>
    <w:rsid w:val="662861DC"/>
    <w:rsid w:val="66286B79"/>
    <w:rsid w:val="66306F43"/>
    <w:rsid w:val="66326E97"/>
    <w:rsid w:val="663F4723"/>
    <w:rsid w:val="66433CD3"/>
    <w:rsid w:val="664615E7"/>
    <w:rsid w:val="665265F4"/>
    <w:rsid w:val="665D487D"/>
    <w:rsid w:val="668A4D72"/>
    <w:rsid w:val="669058AB"/>
    <w:rsid w:val="66943E18"/>
    <w:rsid w:val="6699652A"/>
    <w:rsid w:val="66A562F6"/>
    <w:rsid w:val="66A93110"/>
    <w:rsid w:val="66AC664F"/>
    <w:rsid w:val="66AF2B2C"/>
    <w:rsid w:val="66C83F2C"/>
    <w:rsid w:val="66EB1F18"/>
    <w:rsid w:val="66F0190D"/>
    <w:rsid w:val="67064E16"/>
    <w:rsid w:val="672833FF"/>
    <w:rsid w:val="672B1470"/>
    <w:rsid w:val="67392F67"/>
    <w:rsid w:val="67447CAA"/>
    <w:rsid w:val="674B72E6"/>
    <w:rsid w:val="67603184"/>
    <w:rsid w:val="676569B0"/>
    <w:rsid w:val="67662B31"/>
    <w:rsid w:val="676E53AF"/>
    <w:rsid w:val="6772565E"/>
    <w:rsid w:val="677C3451"/>
    <w:rsid w:val="679C72E6"/>
    <w:rsid w:val="679C7788"/>
    <w:rsid w:val="679D7D9D"/>
    <w:rsid w:val="67A16316"/>
    <w:rsid w:val="67B52945"/>
    <w:rsid w:val="67B84A87"/>
    <w:rsid w:val="67D5396B"/>
    <w:rsid w:val="67E24A58"/>
    <w:rsid w:val="67E967D4"/>
    <w:rsid w:val="67EA1DE2"/>
    <w:rsid w:val="67F51F5D"/>
    <w:rsid w:val="67FB68A8"/>
    <w:rsid w:val="6801475D"/>
    <w:rsid w:val="681C0F9C"/>
    <w:rsid w:val="68280A59"/>
    <w:rsid w:val="682E6A6C"/>
    <w:rsid w:val="683F2A57"/>
    <w:rsid w:val="6844471E"/>
    <w:rsid w:val="68446C9C"/>
    <w:rsid w:val="685448E5"/>
    <w:rsid w:val="68567ADB"/>
    <w:rsid w:val="685A52F7"/>
    <w:rsid w:val="686301D2"/>
    <w:rsid w:val="686F32ED"/>
    <w:rsid w:val="68763CFB"/>
    <w:rsid w:val="68775B46"/>
    <w:rsid w:val="68AB1911"/>
    <w:rsid w:val="68AC7864"/>
    <w:rsid w:val="68BD141F"/>
    <w:rsid w:val="68C2312F"/>
    <w:rsid w:val="68CC74D0"/>
    <w:rsid w:val="68DD058C"/>
    <w:rsid w:val="68E0459C"/>
    <w:rsid w:val="68E84B74"/>
    <w:rsid w:val="690300E6"/>
    <w:rsid w:val="690C1F68"/>
    <w:rsid w:val="691F004A"/>
    <w:rsid w:val="69210AA2"/>
    <w:rsid w:val="692563EE"/>
    <w:rsid w:val="692D6BB4"/>
    <w:rsid w:val="693B7234"/>
    <w:rsid w:val="69456602"/>
    <w:rsid w:val="6965727E"/>
    <w:rsid w:val="696E0D08"/>
    <w:rsid w:val="69785369"/>
    <w:rsid w:val="69C62E9A"/>
    <w:rsid w:val="69D9569F"/>
    <w:rsid w:val="69EC201D"/>
    <w:rsid w:val="69F076EC"/>
    <w:rsid w:val="6A0C4C59"/>
    <w:rsid w:val="6A0C7811"/>
    <w:rsid w:val="6A0E77F1"/>
    <w:rsid w:val="6A3001E9"/>
    <w:rsid w:val="6A3E5B5D"/>
    <w:rsid w:val="6A4771FB"/>
    <w:rsid w:val="6A55161C"/>
    <w:rsid w:val="6A572BE8"/>
    <w:rsid w:val="6A65568E"/>
    <w:rsid w:val="6A6A6D65"/>
    <w:rsid w:val="6A8213EE"/>
    <w:rsid w:val="6A9553FE"/>
    <w:rsid w:val="6A9F48FD"/>
    <w:rsid w:val="6AC02AEF"/>
    <w:rsid w:val="6AC07030"/>
    <w:rsid w:val="6AC30E38"/>
    <w:rsid w:val="6AD0268E"/>
    <w:rsid w:val="6ADB66AC"/>
    <w:rsid w:val="6ADD74FD"/>
    <w:rsid w:val="6AF15601"/>
    <w:rsid w:val="6B21034E"/>
    <w:rsid w:val="6B302B67"/>
    <w:rsid w:val="6B356FEF"/>
    <w:rsid w:val="6B3816B9"/>
    <w:rsid w:val="6B457289"/>
    <w:rsid w:val="6B570F9E"/>
    <w:rsid w:val="6B613AB3"/>
    <w:rsid w:val="6B704D44"/>
    <w:rsid w:val="6B7A4A17"/>
    <w:rsid w:val="6B7F1BF6"/>
    <w:rsid w:val="6B9512FD"/>
    <w:rsid w:val="6B9D0F9D"/>
    <w:rsid w:val="6BB554FE"/>
    <w:rsid w:val="6BB87BB7"/>
    <w:rsid w:val="6BC12EDC"/>
    <w:rsid w:val="6BC930E6"/>
    <w:rsid w:val="6BCB65E9"/>
    <w:rsid w:val="6BD93380"/>
    <w:rsid w:val="6BDB3000"/>
    <w:rsid w:val="6BE255D8"/>
    <w:rsid w:val="6BE40E5E"/>
    <w:rsid w:val="6BE76A97"/>
    <w:rsid w:val="6BEC5157"/>
    <w:rsid w:val="6BF056A3"/>
    <w:rsid w:val="6BF43FAF"/>
    <w:rsid w:val="6BFB78C8"/>
    <w:rsid w:val="6C1363EA"/>
    <w:rsid w:val="6C1F175D"/>
    <w:rsid w:val="6C236C77"/>
    <w:rsid w:val="6C3B602B"/>
    <w:rsid w:val="6C3E480C"/>
    <w:rsid w:val="6C4A348A"/>
    <w:rsid w:val="6C4A4478"/>
    <w:rsid w:val="6C5002D5"/>
    <w:rsid w:val="6C69343B"/>
    <w:rsid w:val="6C6973EC"/>
    <w:rsid w:val="6C6B2CE9"/>
    <w:rsid w:val="6C737CFB"/>
    <w:rsid w:val="6C777224"/>
    <w:rsid w:val="6C83219C"/>
    <w:rsid w:val="6C833B41"/>
    <w:rsid w:val="6C9803A4"/>
    <w:rsid w:val="6C9A7BBB"/>
    <w:rsid w:val="6CA405A4"/>
    <w:rsid w:val="6CD323B8"/>
    <w:rsid w:val="6CF33107"/>
    <w:rsid w:val="6CFA6AAC"/>
    <w:rsid w:val="6D243939"/>
    <w:rsid w:val="6D286FC5"/>
    <w:rsid w:val="6D2F5EB0"/>
    <w:rsid w:val="6D3125B4"/>
    <w:rsid w:val="6D447778"/>
    <w:rsid w:val="6D4A5F2F"/>
    <w:rsid w:val="6D5F7732"/>
    <w:rsid w:val="6D620170"/>
    <w:rsid w:val="6D777E6B"/>
    <w:rsid w:val="6D817056"/>
    <w:rsid w:val="6D84645E"/>
    <w:rsid w:val="6D8F437E"/>
    <w:rsid w:val="6D990245"/>
    <w:rsid w:val="6D997573"/>
    <w:rsid w:val="6DA026C8"/>
    <w:rsid w:val="6DAC5479"/>
    <w:rsid w:val="6DB46943"/>
    <w:rsid w:val="6DC62455"/>
    <w:rsid w:val="6DE4394A"/>
    <w:rsid w:val="6DED7696"/>
    <w:rsid w:val="6E035FBA"/>
    <w:rsid w:val="6E123F60"/>
    <w:rsid w:val="6E1972C9"/>
    <w:rsid w:val="6E2E7FD1"/>
    <w:rsid w:val="6E4730F9"/>
    <w:rsid w:val="6E5231A4"/>
    <w:rsid w:val="6E5A40EE"/>
    <w:rsid w:val="6E671D27"/>
    <w:rsid w:val="6E78772A"/>
    <w:rsid w:val="6E7D48F4"/>
    <w:rsid w:val="6E842069"/>
    <w:rsid w:val="6E9C16AF"/>
    <w:rsid w:val="6E9D390D"/>
    <w:rsid w:val="6EAC20D1"/>
    <w:rsid w:val="6EC5724B"/>
    <w:rsid w:val="6EE10B05"/>
    <w:rsid w:val="6F0472BB"/>
    <w:rsid w:val="6F1B6955"/>
    <w:rsid w:val="6F206808"/>
    <w:rsid w:val="6F322613"/>
    <w:rsid w:val="6F47578D"/>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E54985"/>
    <w:rsid w:val="6FEC7554"/>
    <w:rsid w:val="6FF1283A"/>
    <w:rsid w:val="700D5DEC"/>
    <w:rsid w:val="70244C09"/>
    <w:rsid w:val="70563262"/>
    <w:rsid w:val="705873A3"/>
    <w:rsid w:val="708B5462"/>
    <w:rsid w:val="709910D5"/>
    <w:rsid w:val="709C35CE"/>
    <w:rsid w:val="70B26D33"/>
    <w:rsid w:val="70B54946"/>
    <w:rsid w:val="70D216D3"/>
    <w:rsid w:val="70D9122B"/>
    <w:rsid w:val="71013AC4"/>
    <w:rsid w:val="71306040"/>
    <w:rsid w:val="71367F49"/>
    <w:rsid w:val="71534AAE"/>
    <w:rsid w:val="71613AEC"/>
    <w:rsid w:val="716C54B9"/>
    <w:rsid w:val="716F4C2B"/>
    <w:rsid w:val="717C638C"/>
    <w:rsid w:val="71896C8F"/>
    <w:rsid w:val="719B216D"/>
    <w:rsid w:val="71A175F8"/>
    <w:rsid w:val="71B752EE"/>
    <w:rsid w:val="71C66F16"/>
    <w:rsid w:val="71D71580"/>
    <w:rsid w:val="71DB12A7"/>
    <w:rsid w:val="71E40223"/>
    <w:rsid w:val="71F80007"/>
    <w:rsid w:val="72106F1F"/>
    <w:rsid w:val="722D57C7"/>
    <w:rsid w:val="723423C2"/>
    <w:rsid w:val="724062B5"/>
    <w:rsid w:val="724A0704"/>
    <w:rsid w:val="724F46F0"/>
    <w:rsid w:val="7255143F"/>
    <w:rsid w:val="726436E6"/>
    <w:rsid w:val="72683B3E"/>
    <w:rsid w:val="72700C83"/>
    <w:rsid w:val="727E6483"/>
    <w:rsid w:val="72812BAD"/>
    <w:rsid w:val="72843406"/>
    <w:rsid w:val="728453D5"/>
    <w:rsid w:val="72935827"/>
    <w:rsid w:val="729B79DD"/>
    <w:rsid w:val="72A84ADB"/>
    <w:rsid w:val="72AC0DAF"/>
    <w:rsid w:val="72BB1BA7"/>
    <w:rsid w:val="72C773DB"/>
    <w:rsid w:val="72D051AC"/>
    <w:rsid w:val="72D05F60"/>
    <w:rsid w:val="72EB3D62"/>
    <w:rsid w:val="72ED426C"/>
    <w:rsid w:val="72F91A90"/>
    <w:rsid w:val="730E55D1"/>
    <w:rsid w:val="731C314C"/>
    <w:rsid w:val="73237AF4"/>
    <w:rsid w:val="732927A3"/>
    <w:rsid w:val="73353DC9"/>
    <w:rsid w:val="733B04FD"/>
    <w:rsid w:val="734333B2"/>
    <w:rsid w:val="73666CF1"/>
    <w:rsid w:val="7383558F"/>
    <w:rsid w:val="738A0463"/>
    <w:rsid w:val="738B5FB1"/>
    <w:rsid w:val="73B02110"/>
    <w:rsid w:val="73CE0E30"/>
    <w:rsid w:val="73D47918"/>
    <w:rsid w:val="73F95D4E"/>
    <w:rsid w:val="74044161"/>
    <w:rsid w:val="74194164"/>
    <w:rsid w:val="741C0ACA"/>
    <w:rsid w:val="742B0327"/>
    <w:rsid w:val="742D6B25"/>
    <w:rsid w:val="744446C4"/>
    <w:rsid w:val="74524A6C"/>
    <w:rsid w:val="745D46B6"/>
    <w:rsid w:val="745D6577"/>
    <w:rsid w:val="74674908"/>
    <w:rsid w:val="747E2170"/>
    <w:rsid w:val="747E452E"/>
    <w:rsid w:val="749668CA"/>
    <w:rsid w:val="74994FF2"/>
    <w:rsid w:val="74A93ADB"/>
    <w:rsid w:val="74AB764B"/>
    <w:rsid w:val="74B86703"/>
    <w:rsid w:val="74BA0C6B"/>
    <w:rsid w:val="74BB501E"/>
    <w:rsid w:val="74EE31EA"/>
    <w:rsid w:val="74F039E8"/>
    <w:rsid w:val="74FA2880"/>
    <w:rsid w:val="75080C0F"/>
    <w:rsid w:val="75101C40"/>
    <w:rsid w:val="75225CBF"/>
    <w:rsid w:val="75350693"/>
    <w:rsid w:val="753507D9"/>
    <w:rsid w:val="753B48E1"/>
    <w:rsid w:val="7546677D"/>
    <w:rsid w:val="754B2AC0"/>
    <w:rsid w:val="754D466C"/>
    <w:rsid w:val="754F4CC4"/>
    <w:rsid w:val="7554600D"/>
    <w:rsid w:val="756E0B0A"/>
    <w:rsid w:val="756F18B8"/>
    <w:rsid w:val="757031D9"/>
    <w:rsid w:val="75806983"/>
    <w:rsid w:val="75814167"/>
    <w:rsid w:val="75842DFC"/>
    <w:rsid w:val="758E0290"/>
    <w:rsid w:val="75A667A1"/>
    <w:rsid w:val="75B9416A"/>
    <w:rsid w:val="75BE0722"/>
    <w:rsid w:val="75C247F2"/>
    <w:rsid w:val="75CC7278"/>
    <w:rsid w:val="75CD7BB5"/>
    <w:rsid w:val="75D052C2"/>
    <w:rsid w:val="75D833A4"/>
    <w:rsid w:val="75E26373"/>
    <w:rsid w:val="75F1698E"/>
    <w:rsid w:val="7616334A"/>
    <w:rsid w:val="762A1FEB"/>
    <w:rsid w:val="762C54EE"/>
    <w:rsid w:val="76437D02"/>
    <w:rsid w:val="76442B95"/>
    <w:rsid w:val="765120A6"/>
    <w:rsid w:val="76616C61"/>
    <w:rsid w:val="76617F46"/>
    <w:rsid w:val="766E5B8F"/>
    <w:rsid w:val="767F05D4"/>
    <w:rsid w:val="76A15865"/>
    <w:rsid w:val="76A57736"/>
    <w:rsid w:val="76AD6D41"/>
    <w:rsid w:val="76BF7D3D"/>
    <w:rsid w:val="76C52AEB"/>
    <w:rsid w:val="76CE2AF9"/>
    <w:rsid w:val="76D264D4"/>
    <w:rsid w:val="76D66A80"/>
    <w:rsid w:val="76E13C82"/>
    <w:rsid w:val="76E955C3"/>
    <w:rsid w:val="76FD43AC"/>
    <w:rsid w:val="77123ACC"/>
    <w:rsid w:val="77247924"/>
    <w:rsid w:val="772B1B20"/>
    <w:rsid w:val="77510935"/>
    <w:rsid w:val="77533C64"/>
    <w:rsid w:val="77634F3B"/>
    <w:rsid w:val="77691105"/>
    <w:rsid w:val="77704880"/>
    <w:rsid w:val="778A3EDB"/>
    <w:rsid w:val="778E76B4"/>
    <w:rsid w:val="77D36332"/>
    <w:rsid w:val="77D62A56"/>
    <w:rsid w:val="77D75529"/>
    <w:rsid w:val="77E52DB0"/>
    <w:rsid w:val="77E62733"/>
    <w:rsid w:val="77F84B71"/>
    <w:rsid w:val="780E1955"/>
    <w:rsid w:val="781A23A0"/>
    <w:rsid w:val="781C021C"/>
    <w:rsid w:val="78293DC3"/>
    <w:rsid w:val="782D2D9B"/>
    <w:rsid w:val="783A6B2F"/>
    <w:rsid w:val="783F4F70"/>
    <w:rsid w:val="78542BE7"/>
    <w:rsid w:val="785B4C20"/>
    <w:rsid w:val="785D218D"/>
    <w:rsid w:val="788B1B55"/>
    <w:rsid w:val="78AB03F5"/>
    <w:rsid w:val="78AB4E34"/>
    <w:rsid w:val="78B8567C"/>
    <w:rsid w:val="78F37C03"/>
    <w:rsid w:val="78F7615B"/>
    <w:rsid w:val="78FD2962"/>
    <w:rsid w:val="79157D37"/>
    <w:rsid w:val="792C013A"/>
    <w:rsid w:val="79307089"/>
    <w:rsid w:val="79373219"/>
    <w:rsid w:val="793C368C"/>
    <w:rsid w:val="793C75CD"/>
    <w:rsid w:val="794A4288"/>
    <w:rsid w:val="794C7980"/>
    <w:rsid w:val="7954036F"/>
    <w:rsid w:val="7963139E"/>
    <w:rsid w:val="796A36B4"/>
    <w:rsid w:val="796F2A8D"/>
    <w:rsid w:val="797A39DC"/>
    <w:rsid w:val="798B23A6"/>
    <w:rsid w:val="79A04DFD"/>
    <w:rsid w:val="79A50707"/>
    <w:rsid w:val="79A86542"/>
    <w:rsid w:val="79B4314E"/>
    <w:rsid w:val="79BE5E62"/>
    <w:rsid w:val="79D00261"/>
    <w:rsid w:val="79D72059"/>
    <w:rsid w:val="79D917F7"/>
    <w:rsid w:val="79E34D47"/>
    <w:rsid w:val="79EC33C3"/>
    <w:rsid w:val="7A195421"/>
    <w:rsid w:val="7A1C1793"/>
    <w:rsid w:val="7A1C4DC7"/>
    <w:rsid w:val="7A3A078E"/>
    <w:rsid w:val="7A3E119B"/>
    <w:rsid w:val="7A417F22"/>
    <w:rsid w:val="7A45124E"/>
    <w:rsid w:val="7A4928E9"/>
    <w:rsid w:val="7A4C7BCA"/>
    <w:rsid w:val="7A7E555C"/>
    <w:rsid w:val="7A7F307F"/>
    <w:rsid w:val="7A850292"/>
    <w:rsid w:val="7A864059"/>
    <w:rsid w:val="7A991285"/>
    <w:rsid w:val="7AAC03BC"/>
    <w:rsid w:val="7AAE120D"/>
    <w:rsid w:val="7AB2157C"/>
    <w:rsid w:val="7AC179AB"/>
    <w:rsid w:val="7AC528C4"/>
    <w:rsid w:val="7AC77F5C"/>
    <w:rsid w:val="7ACE4545"/>
    <w:rsid w:val="7AE80992"/>
    <w:rsid w:val="7AE9752E"/>
    <w:rsid w:val="7AEC1055"/>
    <w:rsid w:val="7AF250BD"/>
    <w:rsid w:val="7AF51135"/>
    <w:rsid w:val="7AF6094A"/>
    <w:rsid w:val="7AFC2853"/>
    <w:rsid w:val="7AFE078F"/>
    <w:rsid w:val="7B0320BB"/>
    <w:rsid w:val="7B1E76B6"/>
    <w:rsid w:val="7B220D7A"/>
    <w:rsid w:val="7B2B5921"/>
    <w:rsid w:val="7B2D07A7"/>
    <w:rsid w:val="7B3E16AA"/>
    <w:rsid w:val="7B5204F9"/>
    <w:rsid w:val="7B612D94"/>
    <w:rsid w:val="7B69538B"/>
    <w:rsid w:val="7B6E3852"/>
    <w:rsid w:val="7B745405"/>
    <w:rsid w:val="7B7E5E0A"/>
    <w:rsid w:val="7B89373C"/>
    <w:rsid w:val="7B8B54F1"/>
    <w:rsid w:val="7BCD7043"/>
    <w:rsid w:val="7BD060AF"/>
    <w:rsid w:val="7BD13B30"/>
    <w:rsid w:val="7BDA2B39"/>
    <w:rsid w:val="7BE114B4"/>
    <w:rsid w:val="7C0A4F8F"/>
    <w:rsid w:val="7C274E7E"/>
    <w:rsid w:val="7C280E42"/>
    <w:rsid w:val="7C305674"/>
    <w:rsid w:val="7C3E66E2"/>
    <w:rsid w:val="7C4A7F77"/>
    <w:rsid w:val="7C7F4F3C"/>
    <w:rsid w:val="7C9C55B4"/>
    <w:rsid w:val="7CA544A2"/>
    <w:rsid w:val="7CA91615"/>
    <w:rsid w:val="7CB347D7"/>
    <w:rsid w:val="7CBB76D8"/>
    <w:rsid w:val="7CCD67D7"/>
    <w:rsid w:val="7CDB518C"/>
    <w:rsid w:val="7CE21673"/>
    <w:rsid w:val="7CE2570E"/>
    <w:rsid w:val="7CEA2CFB"/>
    <w:rsid w:val="7CF45745"/>
    <w:rsid w:val="7D0E3538"/>
    <w:rsid w:val="7D4033FD"/>
    <w:rsid w:val="7D4D5856"/>
    <w:rsid w:val="7D537A55"/>
    <w:rsid w:val="7D737A9C"/>
    <w:rsid w:val="7D8234F7"/>
    <w:rsid w:val="7D96147A"/>
    <w:rsid w:val="7D972197"/>
    <w:rsid w:val="7DAA16F6"/>
    <w:rsid w:val="7DAC36B6"/>
    <w:rsid w:val="7DB24046"/>
    <w:rsid w:val="7DCA2855"/>
    <w:rsid w:val="7DE14EF9"/>
    <w:rsid w:val="7DEF3EAB"/>
    <w:rsid w:val="7DFA0A87"/>
    <w:rsid w:val="7E183EEA"/>
    <w:rsid w:val="7E245663"/>
    <w:rsid w:val="7E440B2B"/>
    <w:rsid w:val="7E4A22B2"/>
    <w:rsid w:val="7E4F61B6"/>
    <w:rsid w:val="7E5022F4"/>
    <w:rsid w:val="7E607661"/>
    <w:rsid w:val="7E6752B6"/>
    <w:rsid w:val="7E717A7B"/>
    <w:rsid w:val="7E720C01"/>
    <w:rsid w:val="7E80292D"/>
    <w:rsid w:val="7E84382C"/>
    <w:rsid w:val="7E855AE7"/>
    <w:rsid w:val="7E9D718F"/>
    <w:rsid w:val="7EA55E80"/>
    <w:rsid w:val="7EA7411B"/>
    <w:rsid w:val="7EA874D5"/>
    <w:rsid w:val="7EAA0221"/>
    <w:rsid w:val="7EB02A3C"/>
    <w:rsid w:val="7EB714C1"/>
    <w:rsid w:val="7EB81375"/>
    <w:rsid w:val="7EC92354"/>
    <w:rsid w:val="7ED326C7"/>
    <w:rsid w:val="7EF43758"/>
    <w:rsid w:val="7F0A6F2E"/>
    <w:rsid w:val="7F1E459D"/>
    <w:rsid w:val="7F21551C"/>
    <w:rsid w:val="7F251450"/>
    <w:rsid w:val="7F381A47"/>
    <w:rsid w:val="7F3932D6"/>
    <w:rsid w:val="7F3B3199"/>
    <w:rsid w:val="7F3D07F6"/>
    <w:rsid w:val="7F402553"/>
    <w:rsid w:val="7F4D23DA"/>
    <w:rsid w:val="7F5E5386"/>
    <w:rsid w:val="7F613C7E"/>
    <w:rsid w:val="7F726624"/>
    <w:rsid w:val="7F827F3A"/>
    <w:rsid w:val="7F912BF1"/>
    <w:rsid w:val="7FA4150B"/>
    <w:rsid w:val="7FC46EEE"/>
    <w:rsid w:val="7FCC65E5"/>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 w:type="character" w:customStyle="1" w:styleId="84">
    <w:name w:val="WW8Num1z0"/>
    <w:qFormat/>
    <w:uiPriority w:val="0"/>
  </w:style>
  <w:style w:type="character" w:customStyle="1" w:styleId="85">
    <w:name w:val="ui-provide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36</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2025-02-07T08:56:45Z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